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9155C" w14:textId="2A6E8B12" w:rsidR="00EA3CE6" w:rsidRPr="000A64D8" w:rsidRDefault="00EA3CE6" w:rsidP="00EA3CE6">
      <w:pPr>
        <w:tabs>
          <w:tab w:val="right" w:pos="10000"/>
        </w:tabs>
        <w:spacing w:after="0"/>
        <w:rPr>
          <w:rFonts w:ascii="Arial" w:hAnsi="Arial" w:cs="Arial"/>
          <w:b/>
          <w:sz w:val="24"/>
          <w:szCs w:val="24"/>
        </w:rPr>
      </w:pPr>
      <w:r w:rsidRPr="00402FC9">
        <w:rPr>
          <w:rFonts w:ascii="Arial" w:hAnsi="Arial" w:cs="Arial"/>
          <w:b/>
          <w:sz w:val="24"/>
          <w:szCs w:val="24"/>
        </w:rPr>
        <w:t>3GPP TSG RAN WG1 Meeting 9</w:t>
      </w:r>
      <w:r>
        <w:rPr>
          <w:rFonts w:ascii="Arial" w:hAnsi="Arial" w:cs="Arial"/>
          <w:b/>
          <w:sz w:val="24"/>
          <w:szCs w:val="24"/>
        </w:rPr>
        <w:t>1</w:t>
      </w:r>
      <w:r w:rsidRPr="000A64D8">
        <w:rPr>
          <w:rFonts w:ascii="Arial" w:hAnsi="Arial" w:cs="Arial"/>
          <w:b/>
          <w:sz w:val="24"/>
          <w:szCs w:val="24"/>
        </w:rPr>
        <w:tab/>
      </w:r>
      <w:r>
        <w:rPr>
          <w:rFonts w:ascii="Arial" w:hAnsi="Arial" w:cs="Arial"/>
          <w:b/>
          <w:sz w:val="24"/>
          <w:szCs w:val="24"/>
        </w:rPr>
        <w:t>R1-1720</w:t>
      </w:r>
      <w:r>
        <w:rPr>
          <w:rFonts w:ascii="Arial" w:hAnsi="Arial" w:cs="Arial"/>
          <w:b/>
          <w:sz w:val="24"/>
          <w:szCs w:val="24"/>
        </w:rPr>
        <w:t>703</w:t>
      </w:r>
    </w:p>
    <w:p w14:paraId="1C855F3D" w14:textId="77777777" w:rsidR="00EA3CE6" w:rsidRPr="00FF5C85" w:rsidRDefault="00EA3CE6" w:rsidP="00EA3CE6">
      <w:pPr>
        <w:tabs>
          <w:tab w:val="right" w:pos="9630"/>
        </w:tabs>
        <w:spacing w:after="0"/>
        <w:jc w:val="both"/>
        <w:rPr>
          <w:rFonts w:ascii="Arial" w:hAnsi="Arial" w:cs="Arial"/>
          <w:b/>
          <w:sz w:val="24"/>
          <w:szCs w:val="24"/>
        </w:rPr>
      </w:pPr>
      <w:r>
        <w:rPr>
          <w:rFonts w:ascii="Arial" w:hAnsi="Arial" w:cs="Arial"/>
          <w:b/>
          <w:sz w:val="24"/>
          <w:szCs w:val="24"/>
        </w:rPr>
        <w:t>27</w:t>
      </w:r>
      <w:r w:rsidRPr="00402FC9">
        <w:rPr>
          <w:rFonts w:ascii="Arial" w:hAnsi="Arial" w:cs="Arial"/>
          <w:b/>
          <w:sz w:val="24"/>
          <w:szCs w:val="24"/>
          <w:vertAlign w:val="superscript"/>
        </w:rPr>
        <w:t>th</w:t>
      </w:r>
      <w:r>
        <w:rPr>
          <w:rFonts w:ascii="Arial" w:hAnsi="Arial" w:cs="Arial"/>
          <w:b/>
          <w:sz w:val="24"/>
          <w:szCs w:val="24"/>
        </w:rPr>
        <w:t xml:space="preserve"> November – 1</w:t>
      </w:r>
      <w:r w:rsidRPr="00832378">
        <w:rPr>
          <w:rFonts w:ascii="Arial" w:hAnsi="Arial" w:cs="Arial"/>
          <w:b/>
          <w:sz w:val="24"/>
          <w:szCs w:val="24"/>
          <w:vertAlign w:val="superscript"/>
        </w:rPr>
        <w:t>st</w:t>
      </w:r>
      <w:r>
        <w:rPr>
          <w:rFonts w:ascii="Arial" w:hAnsi="Arial" w:cs="Arial"/>
          <w:b/>
          <w:sz w:val="24"/>
          <w:szCs w:val="24"/>
        </w:rPr>
        <w:t xml:space="preserve"> December</w:t>
      </w:r>
      <w:r w:rsidRPr="008231BD">
        <w:rPr>
          <w:rFonts w:ascii="Arial" w:hAnsi="Arial" w:cs="Arial"/>
          <w:b/>
          <w:sz w:val="24"/>
          <w:szCs w:val="24"/>
        </w:rPr>
        <w:t xml:space="preserve"> </w:t>
      </w:r>
      <w:r>
        <w:rPr>
          <w:rFonts w:ascii="Arial" w:hAnsi="Arial" w:cs="Arial"/>
          <w:b/>
          <w:sz w:val="24"/>
          <w:szCs w:val="24"/>
        </w:rPr>
        <w:t>2017</w:t>
      </w:r>
    </w:p>
    <w:p w14:paraId="43A36174" w14:textId="77777777" w:rsidR="00EA3CE6" w:rsidRPr="00FF5C85" w:rsidRDefault="00EA3CE6" w:rsidP="00EA3CE6">
      <w:pPr>
        <w:spacing w:after="0"/>
        <w:jc w:val="both"/>
        <w:rPr>
          <w:rFonts w:ascii="Arial" w:hAnsi="Arial" w:cs="Arial"/>
          <w:b/>
          <w:sz w:val="24"/>
          <w:szCs w:val="24"/>
        </w:rPr>
      </w:pPr>
      <w:r>
        <w:rPr>
          <w:rFonts w:ascii="Arial" w:hAnsi="Arial" w:cs="Arial"/>
          <w:b/>
          <w:sz w:val="24"/>
          <w:szCs w:val="24"/>
        </w:rPr>
        <w:t>Reno, USA</w:t>
      </w:r>
    </w:p>
    <w:p w14:paraId="35B59ED9" w14:textId="77777777" w:rsidR="006A33A5" w:rsidRPr="00925F0C" w:rsidRDefault="006A33A5" w:rsidP="006A33A5">
      <w:pPr>
        <w:pStyle w:val="Footer"/>
        <w:jc w:val="both"/>
        <w:rPr>
          <w:i w:val="0"/>
          <w:noProof w:val="0"/>
        </w:rPr>
      </w:pPr>
    </w:p>
    <w:p w14:paraId="139BC5B9" w14:textId="40DA9A1A" w:rsidR="006A33A5" w:rsidRPr="00925F0C" w:rsidRDefault="006A33A5" w:rsidP="006A33A5">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r w:rsidR="00C04716">
        <w:rPr>
          <w:rFonts w:ascii="Arial" w:hAnsi="Arial"/>
          <w:sz w:val="24"/>
        </w:rPr>
        <w:t>7</w:t>
      </w:r>
      <w:r>
        <w:rPr>
          <w:rFonts w:ascii="Arial" w:hAnsi="Arial"/>
          <w:sz w:val="24"/>
        </w:rPr>
        <w:t>.4.</w:t>
      </w:r>
      <w:r w:rsidR="00EA3CE6">
        <w:rPr>
          <w:rFonts w:ascii="Arial" w:hAnsi="Arial"/>
          <w:sz w:val="24"/>
        </w:rPr>
        <w:t>2.</w:t>
      </w:r>
      <w:bookmarkStart w:id="0" w:name="_GoBack"/>
      <w:bookmarkEnd w:id="0"/>
      <w:r>
        <w:rPr>
          <w:rFonts w:ascii="Arial" w:hAnsi="Arial"/>
          <w:sz w:val="24"/>
        </w:rPr>
        <w:t>3</w:t>
      </w:r>
    </w:p>
    <w:p w14:paraId="59FD0A58" w14:textId="77777777" w:rsidR="006A33A5" w:rsidRPr="00925F0C" w:rsidRDefault="006A33A5" w:rsidP="006A33A5">
      <w:pPr>
        <w:tabs>
          <w:tab w:val="left" w:pos="1985"/>
        </w:tabs>
        <w:jc w:val="both"/>
        <w:rPr>
          <w:rFonts w:ascii="Arial" w:hAnsi="Arial"/>
          <w:sz w:val="24"/>
        </w:rPr>
      </w:pPr>
      <w:bookmarkStart w:id="1" w:name="Source"/>
      <w:bookmarkEnd w:id="1"/>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013FA28B" w14:textId="7B6AEE3C" w:rsidR="007F2453" w:rsidRPr="007F2453" w:rsidRDefault="006A33A5" w:rsidP="007F2453">
      <w:pPr>
        <w:ind w:left="1988" w:hanging="1988"/>
        <w:rPr>
          <w:rFonts w:ascii="Arial" w:hAnsi="Arial"/>
          <w:sz w:val="22"/>
          <w:lang w:eastAsia="zh-CN"/>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7F2453">
        <w:rPr>
          <w:rFonts w:ascii="Arial" w:hAnsi="Arial"/>
          <w:sz w:val="22"/>
        </w:rPr>
        <w:t>P</w:t>
      </w:r>
      <w:r w:rsidR="007F2453">
        <w:rPr>
          <w:rFonts w:ascii="Arial" w:hAnsi="Arial" w:hint="eastAsia"/>
          <w:sz w:val="22"/>
          <w:lang w:eastAsia="zh-CN"/>
        </w:rPr>
        <w:t xml:space="preserve">BCH </w:t>
      </w:r>
      <w:r w:rsidR="00EA3CE6">
        <w:rPr>
          <w:rFonts w:ascii="Arial" w:hAnsi="Arial"/>
          <w:sz w:val="22"/>
          <w:lang w:eastAsia="zh-CN"/>
        </w:rPr>
        <w:t>Performance and Field Mapping</w:t>
      </w:r>
    </w:p>
    <w:p w14:paraId="41CED5CC" w14:textId="77777777" w:rsidR="006A33A5" w:rsidRPr="00925F0C" w:rsidRDefault="006A33A5" w:rsidP="006A33A5">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Discussion/Decision</w:t>
      </w:r>
    </w:p>
    <w:p w14:paraId="36ECDA49" w14:textId="17027264" w:rsidR="006A33A5" w:rsidRDefault="006A33A5" w:rsidP="006A33A5">
      <w:pPr>
        <w:pStyle w:val="Heading1"/>
      </w:pPr>
      <w:r w:rsidRPr="00925F0C">
        <w:t>Introduction</w:t>
      </w:r>
    </w:p>
    <w:p w14:paraId="53EB1E00" w14:textId="7F23CA85" w:rsidR="00A429EA" w:rsidRDefault="00A429EA" w:rsidP="00A429EA">
      <w:pPr>
        <w:rPr>
          <w:lang w:val="en-GB"/>
        </w:rPr>
      </w:pPr>
      <w:r>
        <w:rPr>
          <w:lang w:val="en-GB"/>
        </w:rPr>
        <w:t xml:space="preserve">In RAN1 90bis </w:t>
      </w:r>
      <w:r>
        <w:rPr>
          <w:lang w:val="en-GB"/>
        </w:rPr>
        <w:fldChar w:fldCharType="begin"/>
      </w:r>
      <w:r>
        <w:rPr>
          <w:lang w:val="en-GB"/>
        </w:rPr>
        <w:instrText xml:space="preserve"> REF _Ref463025321 \r \h </w:instrText>
      </w:r>
      <w:r>
        <w:rPr>
          <w:lang w:val="en-GB"/>
        </w:rPr>
      </w:r>
      <w:r>
        <w:rPr>
          <w:lang w:val="en-GB"/>
        </w:rPr>
        <w:fldChar w:fldCharType="separate"/>
      </w:r>
      <w:r>
        <w:rPr>
          <w:lang w:val="en-GB"/>
        </w:rPr>
        <w:t>[1]</w:t>
      </w:r>
      <w:r>
        <w:rPr>
          <w:lang w:val="en-GB"/>
        </w:rPr>
        <w:fldChar w:fldCharType="end"/>
      </w:r>
      <w:r>
        <w:rPr>
          <w:lang w:val="en-GB"/>
        </w:rPr>
        <w:t>, it was agreed and clarified that time index is transmitted explicitly and that PBCH and PDCCH use the same coding scheme:</w:t>
      </w:r>
    </w:p>
    <w:p w14:paraId="24B98789" w14:textId="77777777" w:rsidR="00A429EA" w:rsidRPr="003F0602" w:rsidRDefault="00A429EA" w:rsidP="00A429EA">
      <w:pPr>
        <w:ind w:left="360"/>
        <w:rPr>
          <w:rFonts w:eastAsia="MS Mincho"/>
          <w:b/>
          <w:highlight w:val="green"/>
          <w:u w:val="single"/>
          <w:lang w:eastAsia="ja-JP"/>
        </w:rPr>
      </w:pPr>
      <w:r w:rsidRPr="003F0602">
        <w:rPr>
          <w:rFonts w:eastAsia="MS Mincho"/>
          <w:b/>
          <w:highlight w:val="green"/>
          <w:u w:val="single"/>
          <w:lang w:eastAsia="ja-JP"/>
        </w:rPr>
        <w:t>Agreement</w:t>
      </w:r>
      <w:r>
        <w:rPr>
          <w:rFonts w:eastAsia="MS Mincho"/>
          <w:b/>
          <w:highlight w:val="green"/>
          <w:u w:val="single"/>
          <w:lang w:eastAsia="ja-JP"/>
        </w:rPr>
        <w:t xml:space="preserve"> from RAN1#89</w:t>
      </w:r>
      <w:r w:rsidRPr="003F0602">
        <w:rPr>
          <w:rFonts w:eastAsia="MS Mincho"/>
          <w:b/>
          <w:highlight w:val="green"/>
          <w:u w:val="single"/>
          <w:lang w:eastAsia="ja-JP"/>
        </w:rPr>
        <w:t>:</w:t>
      </w:r>
    </w:p>
    <w:p w14:paraId="7C914964" w14:textId="77777777" w:rsidR="00A429EA" w:rsidRDefault="00A429EA" w:rsidP="00A429EA">
      <w:pPr>
        <w:numPr>
          <w:ilvl w:val="0"/>
          <w:numId w:val="17"/>
        </w:numPr>
        <w:overflowPunct/>
        <w:autoSpaceDE/>
        <w:autoSpaceDN/>
        <w:adjustRightInd/>
        <w:spacing w:after="0"/>
        <w:ind w:left="1080"/>
        <w:textAlignment w:val="auto"/>
        <w:rPr>
          <w:rFonts w:eastAsia="MS Mincho"/>
          <w:lang w:eastAsia="ja-JP"/>
        </w:rPr>
      </w:pPr>
      <w:r>
        <w:rPr>
          <w:rFonts w:eastAsia="MS Mincho"/>
          <w:lang w:eastAsia="ja-JP"/>
        </w:rPr>
        <w:t>Polar coding is adopted for NR-PBCH</w:t>
      </w:r>
    </w:p>
    <w:p w14:paraId="6CB96B20" w14:textId="77777777" w:rsidR="00A429EA" w:rsidRDefault="00A429EA" w:rsidP="00A429EA">
      <w:pPr>
        <w:numPr>
          <w:ilvl w:val="1"/>
          <w:numId w:val="17"/>
        </w:numPr>
        <w:overflowPunct/>
        <w:autoSpaceDE/>
        <w:autoSpaceDN/>
        <w:adjustRightInd/>
        <w:spacing w:after="0"/>
        <w:ind w:left="1800"/>
        <w:textAlignment w:val="auto"/>
        <w:rPr>
          <w:rFonts w:eastAsia="MS Mincho"/>
          <w:lang w:eastAsia="ja-JP"/>
        </w:rPr>
      </w:pPr>
      <w:r>
        <w:rPr>
          <w:rFonts w:eastAsia="MS Mincho"/>
          <w:lang w:eastAsia="ja-JP"/>
        </w:rPr>
        <w:t>Using same polar code construction as for the control channel</w:t>
      </w:r>
    </w:p>
    <w:p w14:paraId="204F96C0" w14:textId="77777777" w:rsidR="00A429EA" w:rsidRDefault="00A429EA" w:rsidP="00A429EA">
      <w:pPr>
        <w:numPr>
          <w:ilvl w:val="1"/>
          <w:numId w:val="17"/>
        </w:numPr>
        <w:overflowPunct/>
        <w:autoSpaceDE/>
        <w:autoSpaceDN/>
        <w:adjustRightInd/>
        <w:spacing w:after="0"/>
        <w:ind w:left="1800"/>
        <w:textAlignment w:val="auto"/>
        <w:rPr>
          <w:rFonts w:eastAsia="MS Mincho"/>
          <w:lang w:eastAsia="ja-JP"/>
        </w:rPr>
      </w:pPr>
      <w:r w:rsidRPr="00680129">
        <w:rPr>
          <w:rFonts w:eastAsia="MS Mincho"/>
          <w:lang w:eastAsia="ja-JP"/>
        </w:rPr>
        <w:t>N</w:t>
      </w:r>
      <w:r w:rsidRPr="00680129">
        <w:rPr>
          <w:rFonts w:eastAsia="MS Mincho"/>
          <w:vertAlign w:val="subscript"/>
          <w:lang w:eastAsia="ja-JP"/>
        </w:rPr>
        <w:t>max</w:t>
      </w:r>
      <w:r w:rsidRPr="00680129">
        <w:rPr>
          <w:rFonts w:eastAsia="MS Mincho"/>
          <w:lang w:eastAsia="ja-JP"/>
        </w:rPr>
        <w:t xml:space="preserve"> = 512</w:t>
      </w:r>
    </w:p>
    <w:p w14:paraId="2856FB6C" w14:textId="77777777" w:rsidR="00A429EA" w:rsidRDefault="00A429EA" w:rsidP="00A429EA">
      <w:pPr>
        <w:ind w:left="360"/>
        <w:rPr>
          <w:rFonts w:eastAsia="MS Mincho"/>
          <w:lang w:eastAsia="ja-JP"/>
        </w:rPr>
      </w:pPr>
    </w:p>
    <w:p w14:paraId="2BF83680" w14:textId="77777777" w:rsidR="00A429EA" w:rsidRPr="00CA7602" w:rsidRDefault="00A429EA" w:rsidP="00A429EA">
      <w:pPr>
        <w:ind w:left="360"/>
        <w:rPr>
          <w:b/>
          <w:highlight w:val="green"/>
          <w:u w:val="single"/>
          <w:lang w:eastAsia="x-none"/>
        </w:rPr>
      </w:pPr>
      <w:r w:rsidRPr="00CA7602">
        <w:rPr>
          <w:b/>
          <w:highlight w:val="green"/>
          <w:u w:val="single"/>
          <w:lang w:eastAsia="x-none"/>
        </w:rPr>
        <w:t xml:space="preserve">Clarification of the above agreement: </w:t>
      </w:r>
    </w:p>
    <w:p w14:paraId="6C4FA54A" w14:textId="77777777" w:rsidR="00A429EA" w:rsidRPr="003B3306" w:rsidRDefault="00A429EA" w:rsidP="00A429EA">
      <w:pPr>
        <w:numPr>
          <w:ilvl w:val="0"/>
          <w:numId w:val="27"/>
        </w:numPr>
        <w:tabs>
          <w:tab w:val="clear" w:pos="720"/>
          <w:tab w:val="num" w:pos="1080"/>
        </w:tabs>
        <w:overflowPunct/>
        <w:autoSpaceDE/>
        <w:autoSpaceDN/>
        <w:adjustRightInd/>
        <w:spacing w:after="0"/>
        <w:ind w:left="1080"/>
        <w:textAlignment w:val="auto"/>
        <w:rPr>
          <w:lang w:eastAsia="x-none"/>
        </w:rPr>
      </w:pPr>
      <w:r w:rsidRPr="003B3306">
        <w:rPr>
          <w:lang w:eastAsia="x-none"/>
        </w:rPr>
        <w:t xml:space="preserve">Reuse Polar code design </w:t>
      </w:r>
      <w:r>
        <w:rPr>
          <w:lang w:eastAsia="x-none"/>
        </w:rPr>
        <w:t>of</w:t>
      </w:r>
      <w:r w:rsidRPr="003B3306">
        <w:rPr>
          <w:lang w:eastAsia="x-none"/>
        </w:rPr>
        <w:t xml:space="preserve"> PDCCH, i.e., 24-bit </w:t>
      </w:r>
      <w:r>
        <w:rPr>
          <w:lang w:eastAsia="x-none"/>
        </w:rPr>
        <w:t>D-</w:t>
      </w:r>
      <w:r w:rsidRPr="003B3306">
        <w:rPr>
          <w:lang w:eastAsia="x-none"/>
        </w:rPr>
        <w:t>CRC with the associated interleaver.</w:t>
      </w:r>
    </w:p>
    <w:p w14:paraId="4684EB16" w14:textId="77777777" w:rsidR="00A429EA" w:rsidRDefault="00A429EA" w:rsidP="00A429EA">
      <w:pPr>
        <w:ind w:left="360"/>
        <w:rPr>
          <w:lang w:eastAsia="x-none"/>
        </w:rPr>
      </w:pPr>
    </w:p>
    <w:p w14:paraId="743B97B6" w14:textId="77777777" w:rsidR="00A429EA" w:rsidRPr="00C25FA0" w:rsidRDefault="00A429EA" w:rsidP="00A429EA">
      <w:pPr>
        <w:ind w:left="360"/>
        <w:rPr>
          <w:rFonts w:eastAsia="MS Mincho"/>
          <w:b/>
          <w:highlight w:val="green"/>
          <w:u w:val="single"/>
          <w:lang w:eastAsia="ja-JP"/>
        </w:rPr>
      </w:pPr>
      <w:r w:rsidRPr="00C25FA0">
        <w:rPr>
          <w:rFonts w:eastAsia="MS Mincho"/>
          <w:b/>
          <w:highlight w:val="green"/>
          <w:u w:val="single"/>
          <w:lang w:eastAsia="ja-JP"/>
        </w:rPr>
        <w:t xml:space="preserve">Agreement: </w:t>
      </w:r>
    </w:p>
    <w:p w14:paraId="2D381076" w14:textId="77777777" w:rsidR="00A429EA" w:rsidRDefault="00A429EA" w:rsidP="00A429EA">
      <w:pPr>
        <w:numPr>
          <w:ilvl w:val="0"/>
          <w:numId w:val="17"/>
        </w:numPr>
        <w:overflowPunct/>
        <w:autoSpaceDE/>
        <w:autoSpaceDN/>
        <w:adjustRightInd/>
        <w:spacing w:after="0"/>
        <w:ind w:left="1080"/>
        <w:textAlignment w:val="auto"/>
        <w:rPr>
          <w:rFonts w:eastAsia="MS Mincho"/>
          <w:lang w:eastAsia="ja-JP"/>
        </w:rPr>
      </w:pPr>
      <w:r w:rsidRPr="00C25FA0">
        <w:rPr>
          <w:rFonts w:eastAsia="MS Mincho"/>
          <w:lang w:eastAsia="ja-JP"/>
        </w:rPr>
        <w:t xml:space="preserve">Working assumption from RAN1#89 is confirmed, that the data, including time </w:t>
      </w:r>
      <w:r>
        <w:rPr>
          <w:rFonts w:eastAsia="MS Mincho"/>
          <w:lang w:eastAsia="ja-JP"/>
        </w:rPr>
        <w:t>index if carried by NR-PBCH, is transmitted explicitly</w:t>
      </w:r>
      <w:r>
        <w:rPr>
          <w:rFonts w:eastAsia="MS Mincho"/>
          <w:lang w:eastAsia="ja-JP"/>
        </w:rPr>
        <w:tab/>
      </w:r>
    </w:p>
    <w:p w14:paraId="2B4C94CA" w14:textId="603A8E0F" w:rsidR="00A429EA" w:rsidRDefault="00A429EA" w:rsidP="00A429EA">
      <w:pPr>
        <w:rPr>
          <w:lang w:val="en-GB"/>
        </w:rPr>
      </w:pPr>
    </w:p>
    <w:p w14:paraId="4168BEA6" w14:textId="4A618A7E" w:rsidR="001257FA" w:rsidRDefault="001257FA" w:rsidP="00A429EA">
      <w:pPr>
        <w:rPr>
          <w:lang w:val="en-GB"/>
        </w:rPr>
      </w:pPr>
      <w:r>
        <w:rPr>
          <w:lang w:val="en-GB"/>
        </w:rPr>
        <w:t xml:space="preserve">The next </w:t>
      </w:r>
      <w:r w:rsidR="00E915EB">
        <w:rPr>
          <w:lang w:val="en-GB"/>
        </w:rPr>
        <w:t>steps are to study placement of PBCH fields that could lead to desirable properties:</w:t>
      </w:r>
    </w:p>
    <w:p w14:paraId="3EE88E3C" w14:textId="77777777" w:rsidR="00E915EB" w:rsidRPr="00E2710A" w:rsidRDefault="00E915EB" w:rsidP="00E915EB">
      <w:pPr>
        <w:ind w:left="720"/>
        <w:rPr>
          <w:b/>
          <w:u w:val="single"/>
          <w:lang w:eastAsia="x-none"/>
        </w:rPr>
      </w:pPr>
      <w:r w:rsidRPr="00E2710A">
        <w:rPr>
          <w:b/>
          <w:u w:val="single"/>
          <w:lang w:eastAsia="x-none"/>
        </w:rPr>
        <w:t xml:space="preserve">Next steps: </w:t>
      </w:r>
    </w:p>
    <w:p w14:paraId="7AA56AC9" w14:textId="77777777" w:rsidR="00E915EB" w:rsidRPr="00C25FA0" w:rsidRDefault="00E915EB" w:rsidP="00E915EB">
      <w:pPr>
        <w:ind w:left="720"/>
        <w:rPr>
          <w:lang w:eastAsia="x-none"/>
        </w:rPr>
      </w:pPr>
      <w:r w:rsidRPr="00E2710A">
        <w:rPr>
          <w:lang w:eastAsia="x-none"/>
        </w:rPr>
        <w:t xml:space="preserve">Study further until RAN1#91 the order of the PBCH fields, considering whether one or </w:t>
      </w:r>
      <w:r w:rsidRPr="00C25FA0">
        <w:rPr>
          <w:lang w:eastAsia="x-none"/>
        </w:rPr>
        <w:t xml:space="preserve">more PBCH fields </w:t>
      </w:r>
      <w:r>
        <w:rPr>
          <w:lang w:eastAsia="x-none"/>
        </w:rPr>
        <w:t xml:space="preserve">that </w:t>
      </w:r>
      <w:r w:rsidRPr="00C25FA0">
        <w:rPr>
          <w:lang w:eastAsia="x-none"/>
        </w:rPr>
        <w:t xml:space="preserve">have known bit values in certain scenarios are placed </w:t>
      </w:r>
      <w:r>
        <w:rPr>
          <w:lang w:eastAsia="x-none"/>
        </w:rPr>
        <w:t>in a specific order</w:t>
      </w:r>
      <w:r w:rsidRPr="00C25FA0">
        <w:rPr>
          <w:lang w:eastAsia="x-none"/>
        </w:rPr>
        <w:t xml:space="preserve"> to </w:t>
      </w:r>
      <w:r>
        <w:rPr>
          <w:lang w:eastAsia="x-none"/>
        </w:rPr>
        <w:t xml:space="preserve">enable potentially </w:t>
      </w:r>
      <w:r w:rsidRPr="00C25FA0">
        <w:rPr>
          <w:lang w:eastAsia="x-none"/>
        </w:rPr>
        <w:t>improve</w:t>
      </w:r>
      <w:r>
        <w:rPr>
          <w:lang w:eastAsia="x-none"/>
        </w:rPr>
        <w:t>d</w:t>
      </w:r>
      <w:r w:rsidRPr="00C25FA0">
        <w:rPr>
          <w:lang w:eastAsia="x-none"/>
        </w:rPr>
        <w:t xml:space="preserve"> PBCH decoder performance</w:t>
      </w:r>
      <w:r>
        <w:rPr>
          <w:lang w:eastAsia="x-none"/>
        </w:rPr>
        <w:t>/latency (with the CRC being calculated based on the order of the payload after this ordering)</w:t>
      </w:r>
    </w:p>
    <w:p w14:paraId="36FE9CCD" w14:textId="77777777" w:rsidR="00E915EB" w:rsidRPr="00C25FA0" w:rsidRDefault="00E915EB" w:rsidP="00E915EB">
      <w:pPr>
        <w:numPr>
          <w:ilvl w:val="0"/>
          <w:numId w:val="28"/>
        </w:numPr>
        <w:tabs>
          <w:tab w:val="clear" w:pos="720"/>
          <w:tab w:val="num" w:pos="1440"/>
        </w:tabs>
        <w:overflowPunct/>
        <w:autoSpaceDE/>
        <w:autoSpaceDN/>
        <w:adjustRightInd/>
        <w:spacing w:after="0"/>
        <w:ind w:left="1440"/>
        <w:textAlignment w:val="auto"/>
        <w:rPr>
          <w:lang w:eastAsia="x-none"/>
        </w:rPr>
      </w:pPr>
      <w:r>
        <w:rPr>
          <w:lang w:eastAsia="x-none"/>
        </w:rPr>
        <w:t xml:space="preserve">Examples of </w:t>
      </w:r>
      <w:r w:rsidRPr="00C25FA0">
        <w:rPr>
          <w:lang w:eastAsia="x-none"/>
        </w:rPr>
        <w:t xml:space="preserve">field(s) </w:t>
      </w:r>
      <w:r>
        <w:rPr>
          <w:lang w:eastAsia="x-none"/>
        </w:rPr>
        <w:t>to be considered in particular</w:t>
      </w:r>
      <w:r w:rsidRPr="00C25FA0">
        <w:rPr>
          <w:lang w:eastAsia="x-none"/>
        </w:rPr>
        <w:t xml:space="preserve"> </w:t>
      </w:r>
      <w:r>
        <w:rPr>
          <w:lang w:eastAsia="x-none"/>
        </w:rPr>
        <w:t>include</w:t>
      </w:r>
      <w:r w:rsidRPr="00C25FA0">
        <w:rPr>
          <w:lang w:eastAsia="x-none"/>
        </w:rPr>
        <w:t>:</w:t>
      </w:r>
    </w:p>
    <w:p w14:paraId="60D24102" w14:textId="77777777" w:rsidR="00E915EB" w:rsidRPr="00C25FA0" w:rsidRDefault="00E915EB" w:rsidP="00E915EB">
      <w:pPr>
        <w:numPr>
          <w:ilvl w:val="1"/>
          <w:numId w:val="28"/>
        </w:numPr>
        <w:tabs>
          <w:tab w:val="clear" w:pos="1440"/>
          <w:tab w:val="num" w:pos="2160"/>
        </w:tabs>
        <w:overflowPunct/>
        <w:autoSpaceDE/>
        <w:autoSpaceDN/>
        <w:adjustRightInd/>
        <w:spacing w:after="0"/>
        <w:ind w:left="2160"/>
        <w:textAlignment w:val="auto"/>
        <w:rPr>
          <w:lang w:eastAsia="x-none"/>
        </w:rPr>
      </w:pPr>
      <w:r w:rsidRPr="00C25FA0">
        <w:rPr>
          <w:lang w:eastAsia="x-none"/>
        </w:rPr>
        <w:t>SS block time index;</w:t>
      </w:r>
    </w:p>
    <w:p w14:paraId="7D14D013" w14:textId="77777777" w:rsidR="00E915EB" w:rsidRPr="00E2710A" w:rsidRDefault="00E915EB" w:rsidP="00E915EB">
      <w:pPr>
        <w:numPr>
          <w:ilvl w:val="1"/>
          <w:numId w:val="28"/>
        </w:numPr>
        <w:tabs>
          <w:tab w:val="clear" w:pos="1440"/>
          <w:tab w:val="num" w:pos="2160"/>
        </w:tabs>
        <w:overflowPunct/>
        <w:autoSpaceDE/>
        <w:autoSpaceDN/>
        <w:adjustRightInd/>
        <w:spacing w:after="0"/>
        <w:ind w:left="2160"/>
        <w:textAlignment w:val="auto"/>
        <w:rPr>
          <w:lang w:eastAsia="x-none"/>
        </w:rPr>
      </w:pPr>
      <w:r w:rsidRPr="00C25FA0">
        <w:rPr>
          <w:lang w:eastAsia="x-none"/>
        </w:rPr>
        <w:t>SFN bits</w:t>
      </w:r>
      <w:r>
        <w:rPr>
          <w:lang w:eastAsia="x-none"/>
        </w:rPr>
        <w:t xml:space="preserve"> (e.g. for handover cases when the SFN is known a priori);</w:t>
      </w:r>
    </w:p>
    <w:p w14:paraId="227F6DC1" w14:textId="77777777" w:rsidR="00E915EB" w:rsidRPr="00C25FA0" w:rsidRDefault="00E915EB" w:rsidP="00E915EB">
      <w:pPr>
        <w:numPr>
          <w:ilvl w:val="1"/>
          <w:numId w:val="28"/>
        </w:numPr>
        <w:tabs>
          <w:tab w:val="clear" w:pos="1440"/>
          <w:tab w:val="num" w:pos="2160"/>
        </w:tabs>
        <w:overflowPunct/>
        <w:autoSpaceDE/>
        <w:autoSpaceDN/>
        <w:adjustRightInd/>
        <w:spacing w:after="0"/>
        <w:ind w:left="2160"/>
        <w:textAlignment w:val="auto"/>
        <w:rPr>
          <w:lang w:eastAsia="x-none"/>
        </w:rPr>
      </w:pPr>
      <w:r>
        <w:rPr>
          <w:lang w:eastAsia="x-none"/>
        </w:rPr>
        <w:t>reserved bits</w:t>
      </w:r>
    </w:p>
    <w:p w14:paraId="0DA23A8A" w14:textId="77777777" w:rsidR="00E915EB" w:rsidRDefault="00E915EB" w:rsidP="00E915EB">
      <w:pPr>
        <w:numPr>
          <w:ilvl w:val="0"/>
          <w:numId w:val="28"/>
        </w:numPr>
        <w:tabs>
          <w:tab w:val="clear" w:pos="720"/>
          <w:tab w:val="num" w:pos="1440"/>
        </w:tabs>
        <w:overflowPunct/>
        <w:autoSpaceDE/>
        <w:autoSpaceDN/>
        <w:adjustRightInd/>
        <w:spacing w:after="0"/>
        <w:ind w:left="1440"/>
        <w:textAlignment w:val="auto"/>
        <w:rPr>
          <w:lang w:eastAsia="x-none"/>
        </w:rPr>
      </w:pPr>
      <w:r>
        <w:rPr>
          <w:lang w:eastAsia="x-none"/>
        </w:rPr>
        <w:t xml:space="preserve">Note that backward compatibility problems in future releases should be avoided. </w:t>
      </w:r>
    </w:p>
    <w:p w14:paraId="04E58CEC" w14:textId="77777777" w:rsidR="00E915EB" w:rsidRPr="00A429EA" w:rsidRDefault="00E915EB" w:rsidP="00A429EA">
      <w:pPr>
        <w:rPr>
          <w:lang w:val="en-GB"/>
        </w:rPr>
      </w:pPr>
    </w:p>
    <w:p w14:paraId="7AB5250C" w14:textId="2AA8857C" w:rsidR="006A33A5" w:rsidRPr="00E915EB" w:rsidRDefault="006A33A5" w:rsidP="006043FA">
      <w:pPr>
        <w:jc w:val="both"/>
        <w:rPr>
          <w:noProof/>
        </w:rPr>
      </w:pPr>
      <w:r w:rsidRPr="00E915EB">
        <w:rPr>
          <w:noProof/>
        </w:rPr>
        <w:t xml:space="preserve">In this contribution, </w:t>
      </w:r>
      <w:r w:rsidR="00E915EB" w:rsidRPr="00E915EB">
        <w:rPr>
          <w:noProof/>
        </w:rPr>
        <w:t xml:space="preserve">we discuss </w:t>
      </w:r>
      <w:r w:rsidR="00E915EB">
        <w:rPr>
          <w:noProof/>
        </w:rPr>
        <w:t>placement of the PBCH fields.</w:t>
      </w:r>
    </w:p>
    <w:p w14:paraId="289C9869" w14:textId="38531CEB" w:rsidR="008C5D02" w:rsidRDefault="00076A5C" w:rsidP="008C5D02">
      <w:pPr>
        <w:pStyle w:val="Heading1"/>
      </w:pPr>
      <w:r>
        <w:t>PBCH Field Placement</w:t>
      </w:r>
    </w:p>
    <w:p w14:paraId="1E4839C0" w14:textId="393E0235" w:rsidR="00C8634C" w:rsidRPr="00D46FDA" w:rsidRDefault="00C8634C" w:rsidP="000E42E1">
      <w:pPr>
        <w:jc w:val="both"/>
        <w:rPr>
          <w:noProof/>
          <w:lang w:eastAsia="zh-CN"/>
        </w:rPr>
      </w:pPr>
      <w:r w:rsidRPr="00D46FDA">
        <w:rPr>
          <w:noProof/>
          <w:lang w:val="en-GB" w:eastAsia="zh-CN"/>
        </w:rPr>
        <w:t xml:space="preserve">One of the design </w:t>
      </w:r>
      <w:r w:rsidR="00ED1620" w:rsidRPr="00D46FDA">
        <w:rPr>
          <w:noProof/>
          <w:lang w:val="en-GB" w:eastAsia="zh-CN"/>
        </w:rPr>
        <w:t xml:space="preserve">aspect of </w:t>
      </w:r>
      <w:r w:rsidR="00EF186F" w:rsidRPr="00D46FDA">
        <w:rPr>
          <w:noProof/>
          <w:lang w:val="en-GB" w:eastAsia="zh-CN"/>
        </w:rPr>
        <w:t>NR PBCH is the SSID signaling</w:t>
      </w:r>
      <w:r w:rsidR="00ED1620" w:rsidRPr="00D46FDA">
        <w:rPr>
          <w:noProof/>
          <w:lang w:val="en-GB" w:eastAsia="zh-CN"/>
        </w:rPr>
        <w:t xml:space="preserve"> in the case of mmWave</w:t>
      </w:r>
      <w:r w:rsidR="00EF186F" w:rsidRPr="00D46FDA">
        <w:rPr>
          <w:noProof/>
          <w:lang w:val="en-GB" w:eastAsia="zh-CN"/>
        </w:rPr>
        <w:t>. Per initia</w:t>
      </w:r>
      <w:r w:rsidR="00ED1620" w:rsidRPr="00D46FDA">
        <w:rPr>
          <w:noProof/>
          <w:lang w:val="en-GB" w:eastAsia="zh-CN"/>
        </w:rPr>
        <w:t>l access session agreement, for sub-6, 3-bit SSID is indicated in DMRS; for mmWave, an additional 3-bit SSID is indicated in PBCH</w:t>
      </w:r>
      <w:r w:rsidR="00D46FDA">
        <w:rPr>
          <w:noProof/>
          <w:lang w:val="en-GB" w:eastAsia="zh-CN"/>
        </w:rPr>
        <w:t xml:space="preserve"> (those bits are reserved </w:t>
      </w:r>
      <w:r w:rsidR="00D46FDA">
        <w:rPr>
          <w:noProof/>
          <w:lang w:val="en-GB" w:eastAsia="zh-CN"/>
        </w:rPr>
        <w:lastRenderedPageBreak/>
        <w:t>in sub-6)</w:t>
      </w:r>
      <w:r w:rsidR="00ED1620" w:rsidRPr="00D46FDA">
        <w:rPr>
          <w:noProof/>
          <w:lang w:val="en-GB" w:eastAsia="zh-CN"/>
        </w:rPr>
        <w:t xml:space="preserve">. It is important to achieve a unified design across sub-6GHz and mmWave and at the same time, </w:t>
      </w:r>
      <w:r w:rsidR="008A1F32" w:rsidRPr="00D46FDA">
        <w:rPr>
          <w:noProof/>
          <w:lang w:val="en-GB" w:eastAsia="zh-CN"/>
        </w:rPr>
        <w:t xml:space="preserve">with good </w:t>
      </w:r>
      <w:r w:rsidR="00ED1620" w:rsidRPr="00D46FDA">
        <w:rPr>
          <w:noProof/>
          <w:lang w:val="en-GB" w:eastAsia="zh-CN"/>
        </w:rPr>
        <w:t>performance</w:t>
      </w:r>
      <w:r w:rsidR="00B4775A" w:rsidRPr="00D46FDA">
        <w:rPr>
          <w:noProof/>
          <w:lang w:val="en-GB" w:eastAsia="zh-CN"/>
        </w:rPr>
        <w:t xml:space="preserve"> and other aspects </w:t>
      </w:r>
      <w:r w:rsidR="00ED1620" w:rsidRPr="00D46FDA">
        <w:rPr>
          <w:noProof/>
          <w:lang w:val="en-GB" w:eastAsia="zh-CN"/>
        </w:rPr>
        <w:t>for the case of mmWave as well.</w:t>
      </w:r>
    </w:p>
    <w:p w14:paraId="074DDB48" w14:textId="238E2D3B" w:rsidR="00621235" w:rsidRPr="00D46FDA" w:rsidRDefault="00D46FDA" w:rsidP="00621235">
      <w:pPr>
        <w:jc w:val="both"/>
        <w:rPr>
          <w:noProof/>
          <w:lang w:val="en-GB" w:eastAsia="zh-CN"/>
        </w:rPr>
      </w:pPr>
      <w:r>
        <w:rPr>
          <w:noProof/>
          <w:lang w:val="en-GB" w:eastAsia="zh-CN"/>
        </w:rPr>
        <w:t>The</w:t>
      </w:r>
      <w:r w:rsidR="00621235" w:rsidRPr="00D46FDA">
        <w:rPr>
          <w:noProof/>
          <w:lang w:val="en-GB" w:eastAsia="zh-CN"/>
        </w:rPr>
        <w:t xml:space="preserve"> SYNC signal is mainly used for initial acquisition and mobility in connected/idle modes. For idle mode in LTE, measurement is taken over SSS and further RSRP, etc. are measured on CRS, no PBCH decoding is needed for idle mode UE. Similarly in NR, PSS, SSS based measurement is needed (additional DMRS measurement based on PBCH may be needed) and there is no need to decode PBCH or to know the SSID. Each cell ID will be maintained and beam measurement will be maintained for the UE to </w:t>
      </w:r>
      <w:r w:rsidR="0019096C" w:rsidRPr="00D46FDA">
        <w:rPr>
          <w:noProof/>
          <w:lang w:val="en-GB" w:eastAsia="zh-CN"/>
        </w:rPr>
        <w:t>re-</w:t>
      </w:r>
      <w:r w:rsidR="00621235" w:rsidRPr="00D46FDA">
        <w:rPr>
          <w:noProof/>
          <w:lang w:val="en-GB" w:eastAsia="zh-CN"/>
        </w:rPr>
        <w:t>select the right cell/beam.</w:t>
      </w:r>
    </w:p>
    <w:p w14:paraId="1EDBDDF8" w14:textId="3E687325" w:rsidR="004977C4" w:rsidRDefault="001F47F8" w:rsidP="000A4D4C">
      <w:pPr>
        <w:jc w:val="both"/>
        <w:rPr>
          <w:noProof/>
          <w:lang w:val="en-GB" w:eastAsia="zh-CN"/>
        </w:rPr>
      </w:pPr>
      <w:r w:rsidRPr="00D46FDA">
        <w:rPr>
          <w:noProof/>
          <w:lang w:val="en-GB" w:eastAsia="zh-CN"/>
        </w:rPr>
        <w:t xml:space="preserve">In the case of </w:t>
      </w:r>
      <w:r w:rsidR="00A86373">
        <w:rPr>
          <w:noProof/>
          <w:lang w:val="en-GB" w:eastAsia="zh-CN"/>
        </w:rPr>
        <w:t>connected-</w:t>
      </w:r>
      <w:r w:rsidR="00621602" w:rsidRPr="00D46FDA">
        <w:rPr>
          <w:noProof/>
          <w:lang w:val="en-GB" w:eastAsia="zh-CN"/>
        </w:rPr>
        <w:t>mode handover</w:t>
      </w:r>
      <w:r w:rsidR="0031232B" w:rsidRPr="00D46FDA">
        <w:rPr>
          <w:noProof/>
          <w:lang w:val="en-GB" w:eastAsia="zh-CN"/>
        </w:rPr>
        <w:t xml:space="preserve"> (HO), in some cases, </w:t>
      </w:r>
      <w:r w:rsidR="00A70177" w:rsidRPr="00D46FDA">
        <w:rPr>
          <w:noProof/>
          <w:lang w:val="en-GB" w:eastAsia="zh-CN"/>
        </w:rPr>
        <w:t xml:space="preserve">MIB (MSIB) </w:t>
      </w:r>
      <w:r w:rsidR="0031232B" w:rsidRPr="00D46FDA">
        <w:rPr>
          <w:noProof/>
          <w:lang w:val="en-GB" w:eastAsia="zh-CN"/>
        </w:rPr>
        <w:t xml:space="preserve">may </w:t>
      </w:r>
      <w:r w:rsidR="00A70177" w:rsidRPr="00D46FDA">
        <w:rPr>
          <w:noProof/>
          <w:lang w:val="en-GB" w:eastAsia="zh-CN"/>
        </w:rPr>
        <w:t>be obtained via serving cell</w:t>
      </w:r>
      <w:r w:rsidRPr="00D46FDA">
        <w:rPr>
          <w:noProof/>
          <w:lang w:val="en-GB" w:eastAsia="zh-CN"/>
        </w:rPr>
        <w:t xml:space="preserve"> RRC message</w:t>
      </w:r>
      <w:r w:rsidR="00A70177" w:rsidRPr="00D46FDA">
        <w:rPr>
          <w:noProof/>
          <w:lang w:val="en-GB" w:eastAsia="zh-CN"/>
        </w:rPr>
        <w:t>.</w:t>
      </w:r>
      <w:r w:rsidRPr="00D46FDA">
        <w:rPr>
          <w:noProof/>
          <w:lang w:val="en-GB" w:eastAsia="zh-CN"/>
        </w:rPr>
        <w:t xml:space="preserve"> In </w:t>
      </w:r>
      <w:r w:rsidR="0031232B" w:rsidRPr="00D46FDA">
        <w:rPr>
          <w:noProof/>
          <w:lang w:val="en-GB" w:eastAsia="zh-CN"/>
        </w:rPr>
        <w:t xml:space="preserve">such </w:t>
      </w:r>
      <w:r w:rsidRPr="00D46FDA">
        <w:rPr>
          <w:noProof/>
          <w:lang w:val="en-GB" w:eastAsia="zh-CN"/>
        </w:rPr>
        <w:t>case</w:t>
      </w:r>
      <w:r w:rsidR="0031232B" w:rsidRPr="00D46FDA">
        <w:rPr>
          <w:noProof/>
          <w:lang w:val="en-GB" w:eastAsia="zh-CN"/>
        </w:rPr>
        <w:t>s</w:t>
      </w:r>
      <w:r w:rsidRPr="00D46FDA">
        <w:rPr>
          <w:noProof/>
          <w:lang w:val="en-GB" w:eastAsia="zh-CN"/>
        </w:rPr>
        <w:t xml:space="preserve">, additional information of SSID can be decoded </w:t>
      </w:r>
      <w:r w:rsidR="00A86373">
        <w:rPr>
          <w:noProof/>
          <w:lang w:val="en-GB" w:eastAsia="zh-CN"/>
        </w:rPr>
        <w:t xml:space="preserve">treating </w:t>
      </w:r>
      <w:r w:rsidRPr="00D46FDA">
        <w:rPr>
          <w:noProof/>
          <w:lang w:val="en-GB" w:eastAsia="zh-CN"/>
        </w:rPr>
        <w:t>all</w:t>
      </w:r>
      <w:r w:rsidR="00A86373">
        <w:rPr>
          <w:noProof/>
          <w:lang w:val="en-GB" w:eastAsia="zh-CN"/>
        </w:rPr>
        <w:t xml:space="preserve"> other MIB information as frozen bits</w:t>
      </w:r>
      <w:r w:rsidRPr="00D46FDA">
        <w:rPr>
          <w:noProof/>
          <w:lang w:val="en-GB" w:eastAsia="zh-CN"/>
        </w:rPr>
        <w:t>.</w:t>
      </w:r>
      <w:r w:rsidR="0031232B" w:rsidRPr="00D46FDA">
        <w:rPr>
          <w:noProof/>
          <w:lang w:val="en-GB" w:eastAsia="zh-CN"/>
        </w:rPr>
        <w:t xml:space="preserve"> In this case, it may be helpful to place SSID in the </w:t>
      </w:r>
      <w:r w:rsidR="00A86373">
        <w:rPr>
          <w:noProof/>
          <w:lang w:val="en-GB" w:eastAsia="zh-CN"/>
        </w:rPr>
        <w:t>most-reliable locations</w:t>
      </w:r>
      <w:r w:rsidR="0031232B" w:rsidRPr="00D46FDA">
        <w:rPr>
          <w:noProof/>
          <w:lang w:val="en-GB" w:eastAsia="zh-CN"/>
        </w:rPr>
        <w:t xml:space="preserve"> to </w:t>
      </w:r>
      <w:r w:rsidR="00A86373">
        <w:rPr>
          <w:noProof/>
          <w:lang w:val="en-GB" w:eastAsia="zh-CN"/>
        </w:rPr>
        <w:t>improve</w:t>
      </w:r>
      <w:r w:rsidR="0031232B" w:rsidRPr="00D46FDA">
        <w:rPr>
          <w:noProof/>
          <w:lang w:val="en-GB" w:eastAsia="zh-CN"/>
        </w:rPr>
        <w:t xml:space="preserve"> </w:t>
      </w:r>
      <w:r w:rsidR="0000518C" w:rsidRPr="00D46FDA">
        <w:rPr>
          <w:noProof/>
          <w:lang w:val="en-GB" w:eastAsia="zh-CN"/>
        </w:rPr>
        <w:t>decoding</w:t>
      </w:r>
      <w:r w:rsidR="00A86373">
        <w:rPr>
          <w:noProof/>
          <w:lang w:val="en-GB" w:eastAsia="zh-CN"/>
        </w:rPr>
        <w:t xml:space="preserve"> performance</w:t>
      </w:r>
      <w:r w:rsidR="0000518C" w:rsidRPr="00D46FDA">
        <w:rPr>
          <w:noProof/>
          <w:lang w:val="en-GB" w:eastAsia="zh-CN"/>
        </w:rPr>
        <w:t>.</w:t>
      </w:r>
      <w:r w:rsidR="00237C7A" w:rsidRPr="00D46FDA">
        <w:rPr>
          <w:noProof/>
          <w:lang w:val="en-GB" w:eastAsia="zh-CN"/>
        </w:rPr>
        <w:t xml:space="preserve"> </w:t>
      </w:r>
      <w:r w:rsidR="00475F31" w:rsidRPr="00D46FDA">
        <w:rPr>
          <w:noProof/>
          <w:lang w:val="en-GB" w:eastAsia="zh-CN"/>
        </w:rPr>
        <w:t xml:space="preserve">In </w:t>
      </w:r>
      <w:r w:rsidR="0000518C" w:rsidRPr="00D46FDA">
        <w:rPr>
          <w:noProof/>
          <w:lang w:val="en-GB" w:eastAsia="zh-CN"/>
        </w:rPr>
        <w:t>mmWave</w:t>
      </w:r>
      <w:r w:rsidR="00475F31" w:rsidRPr="00D46FDA">
        <w:rPr>
          <w:noProof/>
          <w:lang w:val="en-GB" w:eastAsia="zh-CN"/>
        </w:rPr>
        <w:t>,</w:t>
      </w:r>
      <w:r w:rsidR="0000518C" w:rsidRPr="00D46FDA">
        <w:rPr>
          <w:noProof/>
          <w:lang w:val="en-GB" w:eastAsia="zh-CN"/>
        </w:rPr>
        <w:t xml:space="preserve"> TDD </w:t>
      </w:r>
      <w:r w:rsidR="00475F31" w:rsidRPr="00D46FDA">
        <w:rPr>
          <w:noProof/>
          <w:lang w:val="en-GB" w:eastAsia="zh-CN"/>
        </w:rPr>
        <w:t>is expected to be the most typical deployment</w:t>
      </w:r>
      <w:r w:rsidR="0000518C" w:rsidRPr="00D46FDA">
        <w:rPr>
          <w:noProof/>
          <w:lang w:val="en-GB" w:eastAsia="zh-CN"/>
        </w:rPr>
        <w:t>. I</w:t>
      </w:r>
      <w:r w:rsidR="006A7318" w:rsidRPr="00D46FDA">
        <w:rPr>
          <w:noProof/>
          <w:lang w:val="en-GB" w:eastAsia="zh-CN"/>
        </w:rPr>
        <w:t xml:space="preserve">f </w:t>
      </w:r>
      <w:r w:rsidR="004C4605" w:rsidRPr="00D46FDA">
        <w:rPr>
          <w:noProof/>
          <w:lang w:val="en-GB" w:eastAsia="zh-CN"/>
        </w:rPr>
        <w:t>network (</w:t>
      </w:r>
      <w:r w:rsidR="006A7318" w:rsidRPr="00D46FDA">
        <w:rPr>
          <w:noProof/>
          <w:lang w:val="en-GB" w:eastAsia="zh-CN"/>
        </w:rPr>
        <w:t>NW</w:t>
      </w:r>
      <w:r w:rsidR="004C4605" w:rsidRPr="00D46FDA">
        <w:rPr>
          <w:noProof/>
          <w:lang w:val="en-GB" w:eastAsia="zh-CN"/>
        </w:rPr>
        <w:t>)</w:t>
      </w:r>
      <w:r w:rsidR="006A7318" w:rsidRPr="00D46FDA">
        <w:rPr>
          <w:noProof/>
          <w:lang w:val="en-GB" w:eastAsia="zh-CN"/>
        </w:rPr>
        <w:t xml:space="preserve"> indicates sync deployment, UE may use serving cell timing to obtain SS index of ncell (after just PSS/SSS detection of ncell).</w:t>
      </w:r>
    </w:p>
    <w:p w14:paraId="56F55223" w14:textId="222B82DF" w:rsidR="00A86373" w:rsidRDefault="00A86373" w:rsidP="000A4D4C">
      <w:pPr>
        <w:jc w:val="both"/>
        <w:rPr>
          <w:noProof/>
          <w:lang w:val="en-GB" w:eastAsia="zh-CN"/>
        </w:rPr>
      </w:pPr>
      <w:r w:rsidRPr="00A86373">
        <w:rPr>
          <w:b/>
          <w:noProof/>
          <w:u w:val="single"/>
          <w:lang w:val="en-GB" w:eastAsia="zh-CN"/>
        </w:rPr>
        <w:t>Observation 1:</w:t>
      </w:r>
      <w:r>
        <w:rPr>
          <w:noProof/>
          <w:lang w:val="en-GB" w:eastAsia="zh-CN"/>
        </w:rPr>
        <w:t xml:space="preserve"> placing MIB, except SSID, in the least reliable positions can improve decoding performance in connected-mode handover when MIB information is obtained from serving cell.</w:t>
      </w:r>
    </w:p>
    <w:p w14:paraId="7A487841" w14:textId="32B574FE" w:rsidR="00D24360" w:rsidRDefault="00D24360" w:rsidP="000A4D4C">
      <w:pPr>
        <w:jc w:val="both"/>
        <w:rPr>
          <w:noProof/>
          <w:lang w:val="en-GB" w:eastAsia="zh-CN"/>
        </w:rPr>
      </w:pPr>
      <w:r>
        <w:rPr>
          <w:noProof/>
          <w:lang w:val="en-GB" w:eastAsia="zh-CN"/>
        </w:rPr>
        <w:t xml:space="preserve">In a synchronous network, all cells </w:t>
      </w:r>
      <w:r w:rsidR="00273ABF">
        <w:rPr>
          <w:noProof/>
          <w:lang w:val="en-GB" w:eastAsia="zh-CN"/>
        </w:rPr>
        <w:t>are syncrhonized to</w:t>
      </w:r>
      <w:r>
        <w:rPr>
          <w:noProof/>
          <w:lang w:val="en-GB" w:eastAsia="zh-CN"/>
        </w:rPr>
        <w:t xml:space="preserve"> the same system frame number (SFN)</w:t>
      </w:r>
      <w:r w:rsidR="00273ABF">
        <w:rPr>
          <w:noProof/>
          <w:lang w:val="en-GB" w:eastAsia="zh-CN"/>
        </w:rPr>
        <w:t>. During handover in such networks, using the known SFN as frozen bits improves decoding performance if the SFN is placed is the least reliable bit locations.</w:t>
      </w:r>
    </w:p>
    <w:p w14:paraId="7655FBC1" w14:textId="3BC88DB5" w:rsidR="00273ABF" w:rsidRDefault="00273ABF" w:rsidP="000A4D4C">
      <w:pPr>
        <w:jc w:val="both"/>
        <w:rPr>
          <w:noProof/>
          <w:lang w:val="en-GB" w:eastAsia="zh-CN"/>
        </w:rPr>
      </w:pPr>
      <w:r w:rsidRPr="00273ABF">
        <w:rPr>
          <w:b/>
          <w:noProof/>
          <w:u w:val="single"/>
          <w:lang w:val="en-GB" w:eastAsia="zh-CN"/>
        </w:rPr>
        <w:t>Observation 2:</w:t>
      </w:r>
      <w:r>
        <w:rPr>
          <w:noProof/>
          <w:lang w:val="en-GB" w:eastAsia="zh-CN"/>
        </w:rPr>
        <w:t xml:space="preserve"> placing the SFN in the least reliable bit locations can improve decoding performance during handover in synchronous networks.</w:t>
      </w:r>
    </w:p>
    <w:p w14:paraId="17F13298" w14:textId="007F52D0" w:rsidR="00273ABF" w:rsidRDefault="007E3ED5" w:rsidP="000A4D4C">
      <w:pPr>
        <w:jc w:val="both"/>
        <w:rPr>
          <w:noProof/>
          <w:lang w:val="en-GB" w:eastAsia="zh-CN"/>
        </w:rPr>
      </w:pPr>
      <w:r>
        <w:rPr>
          <w:noProof/>
          <w:lang w:val="en-GB" w:eastAsia="zh-CN"/>
        </w:rPr>
        <w:t>The RAN1 agreements state the the same coding scheme as PDCCH is to be used for PBCH, including</w:t>
      </w:r>
      <w:r w:rsidR="00EA3CE6">
        <w:rPr>
          <w:noProof/>
          <w:lang w:val="en-GB" w:eastAsia="zh-CN"/>
        </w:rPr>
        <w:t xml:space="preserve"> the distributed CRC. Therefore, bit locations both in terms of decoding order and reliablity are defined after the CRC interleaving. This requires </w:t>
      </w:r>
      <w:r>
        <w:rPr>
          <w:noProof/>
          <w:lang w:val="en-GB" w:eastAsia="zh-CN"/>
        </w:rPr>
        <w:t>an addition</w:t>
      </w:r>
      <w:r w:rsidR="00EA3CE6">
        <w:rPr>
          <w:noProof/>
          <w:lang w:val="en-GB" w:eastAsia="zh-CN"/>
        </w:rPr>
        <w:t>al</w:t>
      </w:r>
      <w:r>
        <w:rPr>
          <w:noProof/>
          <w:lang w:val="en-GB" w:eastAsia="zh-CN"/>
        </w:rPr>
        <w:t xml:space="preserve"> interleaving step when assemli</w:t>
      </w:r>
      <w:r w:rsidR="00EA3CE6">
        <w:rPr>
          <w:noProof/>
          <w:lang w:val="en-GB" w:eastAsia="zh-CN"/>
        </w:rPr>
        <w:t>ng and parsing the PBCH payload, either in the PHY or MAC.</w:t>
      </w:r>
    </w:p>
    <w:p w14:paraId="2F98B8ED" w14:textId="6D96E529" w:rsidR="00EA3CE6" w:rsidRPr="00D46FDA" w:rsidRDefault="00EA3CE6" w:rsidP="000A4D4C">
      <w:pPr>
        <w:jc w:val="both"/>
        <w:rPr>
          <w:noProof/>
          <w:lang w:val="en-GB" w:eastAsia="zh-CN"/>
        </w:rPr>
      </w:pPr>
      <w:r w:rsidRPr="00EA3CE6">
        <w:rPr>
          <w:b/>
          <w:noProof/>
          <w:u w:val="single"/>
          <w:lang w:val="en-GB" w:eastAsia="zh-CN"/>
        </w:rPr>
        <w:t>Observation 3</w:t>
      </w:r>
      <w:r>
        <w:rPr>
          <w:noProof/>
          <w:lang w:val="en-GB" w:eastAsia="zh-CN"/>
        </w:rPr>
        <w:t>: special placement of PBCH payload bits requires an additional interleaving step to account for the CRC interleaver.</w:t>
      </w:r>
    </w:p>
    <w:p w14:paraId="28ED78B5" w14:textId="5DEFC865" w:rsidR="006A33A5" w:rsidRDefault="006A33A5" w:rsidP="006A33A5">
      <w:pPr>
        <w:pStyle w:val="Heading1"/>
        <w:rPr>
          <w:lang w:eastAsia="zh-CN"/>
        </w:rPr>
      </w:pPr>
      <w:r w:rsidRPr="00925F0C">
        <w:rPr>
          <w:lang w:eastAsia="zh-CN"/>
        </w:rPr>
        <w:t>Conclusions</w:t>
      </w:r>
    </w:p>
    <w:p w14:paraId="334E88D1" w14:textId="77777777" w:rsidR="00A86373" w:rsidRPr="00D46FDA" w:rsidRDefault="00A86373" w:rsidP="00A86373">
      <w:pPr>
        <w:jc w:val="both"/>
        <w:rPr>
          <w:noProof/>
          <w:lang w:val="en-GB" w:eastAsia="zh-CN"/>
        </w:rPr>
      </w:pPr>
      <w:r w:rsidRPr="00A86373">
        <w:rPr>
          <w:b/>
          <w:noProof/>
          <w:u w:val="single"/>
          <w:lang w:val="en-GB" w:eastAsia="zh-CN"/>
        </w:rPr>
        <w:t>Observation 1:</w:t>
      </w:r>
      <w:r>
        <w:rPr>
          <w:noProof/>
          <w:lang w:val="en-GB" w:eastAsia="zh-CN"/>
        </w:rPr>
        <w:t xml:space="preserve"> placing MIB, except SSID, in the least reliable positions can improve decoding performance in connected-mode handover when MIB information is obtained from serving cell.</w:t>
      </w:r>
    </w:p>
    <w:p w14:paraId="474BD154" w14:textId="77777777" w:rsidR="00EA3CE6" w:rsidRDefault="00EA3CE6" w:rsidP="00EA3CE6">
      <w:pPr>
        <w:jc w:val="both"/>
        <w:rPr>
          <w:noProof/>
          <w:lang w:val="en-GB" w:eastAsia="zh-CN"/>
        </w:rPr>
      </w:pPr>
      <w:r w:rsidRPr="00273ABF">
        <w:rPr>
          <w:b/>
          <w:noProof/>
          <w:u w:val="single"/>
          <w:lang w:val="en-GB" w:eastAsia="zh-CN"/>
        </w:rPr>
        <w:t>Observation 2:</w:t>
      </w:r>
      <w:r>
        <w:rPr>
          <w:noProof/>
          <w:lang w:val="en-GB" w:eastAsia="zh-CN"/>
        </w:rPr>
        <w:t xml:space="preserve"> placing the SFN in the least reliable bit locations can improve decoding performance during handover in synchronous networks.</w:t>
      </w:r>
    </w:p>
    <w:p w14:paraId="033EA568" w14:textId="77777777" w:rsidR="00EA3CE6" w:rsidRPr="00D46FDA" w:rsidRDefault="00EA3CE6" w:rsidP="00EA3CE6">
      <w:pPr>
        <w:jc w:val="both"/>
        <w:rPr>
          <w:noProof/>
          <w:lang w:val="en-GB" w:eastAsia="zh-CN"/>
        </w:rPr>
      </w:pPr>
      <w:r w:rsidRPr="00EA3CE6">
        <w:rPr>
          <w:b/>
          <w:noProof/>
          <w:u w:val="single"/>
          <w:lang w:val="en-GB" w:eastAsia="zh-CN"/>
        </w:rPr>
        <w:t>Observation 3</w:t>
      </w:r>
      <w:r>
        <w:rPr>
          <w:noProof/>
          <w:lang w:val="en-GB" w:eastAsia="zh-CN"/>
        </w:rPr>
        <w:t>: special placement of PBCH payload bits requires an additional interleaving step to account for the CRC interleaver.</w:t>
      </w:r>
    </w:p>
    <w:p w14:paraId="41062A30" w14:textId="77777777" w:rsidR="006A33A5" w:rsidRPr="00925F0C" w:rsidRDefault="006A33A5" w:rsidP="006A33A5">
      <w:pPr>
        <w:pStyle w:val="Heading1"/>
      </w:pPr>
      <w:r w:rsidRPr="00925F0C">
        <w:t>References</w:t>
      </w:r>
    </w:p>
    <w:p w14:paraId="6E64959B" w14:textId="5BC8D495" w:rsidR="00237C7A" w:rsidRPr="00EA3CE6" w:rsidRDefault="00A429EA" w:rsidP="00EA3CE6">
      <w:pPr>
        <w:numPr>
          <w:ilvl w:val="0"/>
          <w:numId w:val="1"/>
        </w:numPr>
        <w:spacing w:before="100" w:beforeAutospacing="1" w:after="100" w:afterAutospacing="1"/>
        <w:rPr>
          <w:sz w:val="24"/>
          <w:szCs w:val="24"/>
        </w:rPr>
      </w:pPr>
      <w:bookmarkStart w:id="3" w:name="_Ref463025321"/>
      <w:bookmarkStart w:id="4" w:name="_Ref463025319"/>
      <w:r w:rsidRPr="00A429EA">
        <w:rPr>
          <w:sz w:val="24"/>
          <w:szCs w:val="24"/>
        </w:rPr>
        <w:t>Chairman’s Notes, RAN1 90bis, October 2017, Prague, Czech Republic</w:t>
      </w:r>
      <w:r w:rsidR="00725668">
        <w:rPr>
          <w:sz w:val="24"/>
          <w:szCs w:val="24"/>
        </w:rPr>
        <w:t>.</w:t>
      </w:r>
      <w:bookmarkEnd w:id="3"/>
      <w:bookmarkEnd w:id="4"/>
    </w:p>
    <w:sectPr w:rsidR="00237C7A" w:rsidRPr="00EA3CE6" w:rsidSect="006A33A5">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8DB03" w14:textId="77777777" w:rsidR="00DA576D" w:rsidRDefault="00DA576D">
      <w:pPr>
        <w:spacing w:after="0"/>
      </w:pPr>
      <w:r>
        <w:separator/>
      </w:r>
    </w:p>
  </w:endnote>
  <w:endnote w:type="continuationSeparator" w:id="0">
    <w:p w14:paraId="30B12500" w14:textId="77777777" w:rsidR="00DA576D" w:rsidRDefault="00DA576D">
      <w:pPr>
        <w:spacing w:after="0"/>
      </w:pPr>
      <w:r>
        <w:continuationSeparator/>
      </w:r>
    </w:p>
  </w:endnote>
  <w:endnote w:type="continuationNotice" w:id="1">
    <w:p w14:paraId="726CCEB1" w14:textId="77777777" w:rsidR="00DA576D" w:rsidRDefault="00DA5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9FC46" w14:textId="77777777" w:rsidR="00CF482E" w:rsidRDefault="00CF482E" w:rsidP="00940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EFD136" w14:textId="77777777" w:rsidR="00CF482E" w:rsidRDefault="00CF482E" w:rsidP="009405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93F67" w14:textId="62673328" w:rsidR="00CF482E" w:rsidRDefault="00CF482E" w:rsidP="0094050A">
    <w:pPr>
      <w:pStyle w:val="Footer"/>
      <w:ind w:right="360"/>
    </w:pPr>
    <w:r>
      <w:rPr>
        <w:rStyle w:val="PageNumber"/>
      </w:rPr>
      <w:fldChar w:fldCharType="begin"/>
    </w:r>
    <w:r>
      <w:rPr>
        <w:rStyle w:val="PageNumber"/>
      </w:rPr>
      <w:instrText xml:space="preserve"> PAGE </w:instrText>
    </w:r>
    <w:r>
      <w:rPr>
        <w:rStyle w:val="PageNumber"/>
      </w:rPr>
      <w:fldChar w:fldCharType="separate"/>
    </w:r>
    <w:r w:rsidR="00EA3CE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3CE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36784" w14:textId="77777777" w:rsidR="00DA576D" w:rsidRDefault="00DA576D">
      <w:pPr>
        <w:spacing w:after="0"/>
      </w:pPr>
      <w:r>
        <w:separator/>
      </w:r>
    </w:p>
  </w:footnote>
  <w:footnote w:type="continuationSeparator" w:id="0">
    <w:p w14:paraId="47FB53FC" w14:textId="77777777" w:rsidR="00DA576D" w:rsidRDefault="00DA576D">
      <w:pPr>
        <w:spacing w:after="0"/>
      </w:pPr>
      <w:r>
        <w:continuationSeparator/>
      </w:r>
    </w:p>
  </w:footnote>
  <w:footnote w:type="continuationNotice" w:id="1">
    <w:p w14:paraId="00253C16" w14:textId="77777777" w:rsidR="00DA576D" w:rsidRDefault="00DA57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479F" w14:textId="77777777" w:rsidR="00CF482E" w:rsidRDefault="00CF48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C6554F"/>
    <w:multiLevelType w:val="hybridMultilevel"/>
    <w:tmpl w:val="0B5AD7D4"/>
    <w:lvl w:ilvl="0" w:tplc="7618FE06">
      <w:start w:val="1"/>
      <w:numFmt w:val="bullet"/>
      <w:lvlText w:val="•"/>
      <w:lvlJc w:val="left"/>
      <w:pPr>
        <w:tabs>
          <w:tab w:val="num" w:pos="720"/>
        </w:tabs>
        <w:ind w:left="720" w:hanging="360"/>
      </w:pPr>
      <w:rPr>
        <w:rFonts w:ascii="Arial" w:hAnsi="Arial"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A68BF"/>
    <w:multiLevelType w:val="hybridMultilevel"/>
    <w:tmpl w:val="7024A2D2"/>
    <w:lvl w:ilvl="0" w:tplc="04090011">
      <w:start w:val="1"/>
      <w:numFmt w:val="decimal"/>
      <w:lvlText w:val="%1)"/>
      <w:lvlJc w:val="left"/>
      <w:pPr>
        <w:tabs>
          <w:tab w:val="num" w:pos="720"/>
        </w:tabs>
        <w:ind w:left="720" w:hanging="360"/>
      </w:pPr>
      <w:rPr>
        <w:rFonts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402353"/>
    <w:multiLevelType w:val="hybridMultilevel"/>
    <w:tmpl w:val="A6EAEB8E"/>
    <w:lvl w:ilvl="0" w:tplc="5546BBCE">
      <w:start w:val="1"/>
      <w:numFmt w:val="bullet"/>
      <w:lvlText w:val="•"/>
      <w:lvlJc w:val="left"/>
      <w:pPr>
        <w:tabs>
          <w:tab w:val="num" w:pos="720"/>
        </w:tabs>
        <w:ind w:left="720" w:hanging="360"/>
      </w:pPr>
      <w:rPr>
        <w:rFonts w:ascii="Arial" w:hAnsi="Arial" w:hint="default"/>
      </w:rPr>
    </w:lvl>
    <w:lvl w:ilvl="1" w:tplc="6CC67840">
      <w:numFmt w:val="bullet"/>
      <w:lvlText w:val="–"/>
      <w:lvlJc w:val="left"/>
      <w:pPr>
        <w:tabs>
          <w:tab w:val="num" w:pos="1440"/>
        </w:tabs>
        <w:ind w:left="1440" w:hanging="360"/>
      </w:pPr>
      <w:rPr>
        <w:rFonts w:ascii="Arial" w:hAnsi="Arial" w:hint="default"/>
      </w:rPr>
    </w:lvl>
    <w:lvl w:ilvl="2" w:tplc="91A02F8A">
      <w:numFmt w:val="bullet"/>
      <w:lvlText w:val="•"/>
      <w:lvlJc w:val="left"/>
      <w:pPr>
        <w:tabs>
          <w:tab w:val="num" w:pos="2160"/>
        </w:tabs>
        <w:ind w:left="2160" w:hanging="360"/>
      </w:pPr>
      <w:rPr>
        <w:rFonts w:ascii="Arial" w:hAnsi="Arial" w:hint="default"/>
      </w:rPr>
    </w:lvl>
    <w:lvl w:ilvl="3" w:tplc="178249B6" w:tentative="1">
      <w:start w:val="1"/>
      <w:numFmt w:val="bullet"/>
      <w:lvlText w:val="•"/>
      <w:lvlJc w:val="left"/>
      <w:pPr>
        <w:tabs>
          <w:tab w:val="num" w:pos="2880"/>
        </w:tabs>
        <w:ind w:left="2880" w:hanging="360"/>
      </w:pPr>
      <w:rPr>
        <w:rFonts w:ascii="Arial" w:hAnsi="Arial" w:hint="default"/>
      </w:rPr>
    </w:lvl>
    <w:lvl w:ilvl="4" w:tplc="3C50434E" w:tentative="1">
      <w:start w:val="1"/>
      <w:numFmt w:val="bullet"/>
      <w:lvlText w:val="•"/>
      <w:lvlJc w:val="left"/>
      <w:pPr>
        <w:tabs>
          <w:tab w:val="num" w:pos="3600"/>
        </w:tabs>
        <w:ind w:left="3600" w:hanging="360"/>
      </w:pPr>
      <w:rPr>
        <w:rFonts w:ascii="Arial" w:hAnsi="Arial" w:hint="default"/>
      </w:rPr>
    </w:lvl>
    <w:lvl w:ilvl="5" w:tplc="8C2C06F4" w:tentative="1">
      <w:start w:val="1"/>
      <w:numFmt w:val="bullet"/>
      <w:lvlText w:val="•"/>
      <w:lvlJc w:val="left"/>
      <w:pPr>
        <w:tabs>
          <w:tab w:val="num" w:pos="4320"/>
        </w:tabs>
        <w:ind w:left="4320" w:hanging="360"/>
      </w:pPr>
      <w:rPr>
        <w:rFonts w:ascii="Arial" w:hAnsi="Arial" w:hint="default"/>
      </w:rPr>
    </w:lvl>
    <w:lvl w:ilvl="6" w:tplc="F9F27C20" w:tentative="1">
      <w:start w:val="1"/>
      <w:numFmt w:val="bullet"/>
      <w:lvlText w:val="•"/>
      <w:lvlJc w:val="left"/>
      <w:pPr>
        <w:tabs>
          <w:tab w:val="num" w:pos="5040"/>
        </w:tabs>
        <w:ind w:left="5040" w:hanging="360"/>
      </w:pPr>
      <w:rPr>
        <w:rFonts w:ascii="Arial" w:hAnsi="Arial" w:hint="default"/>
      </w:rPr>
    </w:lvl>
    <w:lvl w:ilvl="7" w:tplc="4B263E3A" w:tentative="1">
      <w:start w:val="1"/>
      <w:numFmt w:val="bullet"/>
      <w:lvlText w:val="•"/>
      <w:lvlJc w:val="left"/>
      <w:pPr>
        <w:tabs>
          <w:tab w:val="num" w:pos="5760"/>
        </w:tabs>
        <w:ind w:left="5760" w:hanging="360"/>
      </w:pPr>
      <w:rPr>
        <w:rFonts w:ascii="Arial" w:hAnsi="Arial" w:hint="default"/>
      </w:rPr>
    </w:lvl>
    <w:lvl w:ilvl="8" w:tplc="AB8A62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D433FD"/>
    <w:multiLevelType w:val="hybridMultilevel"/>
    <w:tmpl w:val="44E21F92"/>
    <w:lvl w:ilvl="0" w:tplc="8D7E9612">
      <w:start w:val="1"/>
      <w:numFmt w:val="bullet"/>
      <w:lvlText w:val="•"/>
      <w:lvlJc w:val="left"/>
      <w:pPr>
        <w:tabs>
          <w:tab w:val="num" w:pos="720"/>
        </w:tabs>
        <w:ind w:left="720" w:hanging="360"/>
      </w:pPr>
      <w:rPr>
        <w:rFonts w:ascii="Arial" w:hAnsi="Arial" w:hint="default"/>
      </w:rPr>
    </w:lvl>
    <w:lvl w:ilvl="1" w:tplc="B0982B5C">
      <w:numFmt w:val="bullet"/>
      <w:lvlText w:val="–"/>
      <w:lvlJc w:val="left"/>
      <w:pPr>
        <w:tabs>
          <w:tab w:val="num" w:pos="1440"/>
        </w:tabs>
        <w:ind w:left="1440" w:hanging="360"/>
      </w:pPr>
      <w:rPr>
        <w:rFonts w:ascii="Arial" w:hAnsi="Arial" w:hint="default"/>
      </w:rPr>
    </w:lvl>
    <w:lvl w:ilvl="2" w:tplc="CA4A0ED6">
      <w:numFmt w:val="bullet"/>
      <w:lvlText w:val="•"/>
      <w:lvlJc w:val="left"/>
      <w:pPr>
        <w:tabs>
          <w:tab w:val="num" w:pos="2160"/>
        </w:tabs>
        <w:ind w:left="2160" w:hanging="360"/>
      </w:pPr>
      <w:rPr>
        <w:rFonts w:ascii="Arial" w:hAnsi="Arial" w:hint="default"/>
      </w:rPr>
    </w:lvl>
    <w:lvl w:ilvl="3" w:tplc="9BA8241C">
      <w:start w:val="1"/>
      <w:numFmt w:val="bullet"/>
      <w:lvlText w:val="•"/>
      <w:lvlJc w:val="left"/>
      <w:pPr>
        <w:tabs>
          <w:tab w:val="num" w:pos="2880"/>
        </w:tabs>
        <w:ind w:left="2880" w:hanging="360"/>
      </w:pPr>
      <w:rPr>
        <w:rFonts w:ascii="Arial" w:hAnsi="Arial" w:hint="default"/>
      </w:rPr>
    </w:lvl>
    <w:lvl w:ilvl="4" w:tplc="D0921424" w:tentative="1">
      <w:start w:val="1"/>
      <w:numFmt w:val="bullet"/>
      <w:lvlText w:val="•"/>
      <w:lvlJc w:val="left"/>
      <w:pPr>
        <w:tabs>
          <w:tab w:val="num" w:pos="3600"/>
        </w:tabs>
        <w:ind w:left="3600" w:hanging="360"/>
      </w:pPr>
      <w:rPr>
        <w:rFonts w:ascii="Arial" w:hAnsi="Arial" w:hint="default"/>
      </w:rPr>
    </w:lvl>
    <w:lvl w:ilvl="5" w:tplc="09184092" w:tentative="1">
      <w:start w:val="1"/>
      <w:numFmt w:val="bullet"/>
      <w:lvlText w:val="•"/>
      <w:lvlJc w:val="left"/>
      <w:pPr>
        <w:tabs>
          <w:tab w:val="num" w:pos="4320"/>
        </w:tabs>
        <w:ind w:left="4320" w:hanging="360"/>
      </w:pPr>
      <w:rPr>
        <w:rFonts w:ascii="Arial" w:hAnsi="Arial" w:hint="default"/>
      </w:rPr>
    </w:lvl>
    <w:lvl w:ilvl="6" w:tplc="6B9014FC" w:tentative="1">
      <w:start w:val="1"/>
      <w:numFmt w:val="bullet"/>
      <w:lvlText w:val="•"/>
      <w:lvlJc w:val="left"/>
      <w:pPr>
        <w:tabs>
          <w:tab w:val="num" w:pos="5040"/>
        </w:tabs>
        <w:ind w:left="5040" w:hanging="360"/>
      </w:pPr>
      <w:rPr>
        <w:rFonts w:ascii="Arial" w:hAnsi="Arial" w:hint="default"/>
      </w:rPr>
    </w:lvl>
    <w:lvl w:ilvl="7" w:tplc="7C429738" w:tentative="1">
      <w:start w:val="1"/>
      <w:numFmt w:val="bullet"/>
      <w:lvlText w:val="•"/>
      <w:lvlJc w:val="left"/>
      <w:pPr>
        <w:tabs>
          <w:tab w:val="num" w:pos="5760"/>
        </w:tabs>
        <w:ind w:left="5760" w:hanging="360"/>
      </w:pPr>
      <w:rPr>
        <w:rFonts w:ascii="Arial" w:hAnsi="Arial" w:hint="default"/>
      </w:rPr>
    </w:lvl>
    <w:lvl w:ilvl="8" w:tplc="C73CD7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5C6F09"/>
    <w:multiLevelType w:val="multilevel"/>
    <w:tmpl w:val="87DCA65C"/>
    <w:lvl w:ilvl="0">
      <w:start w:val="1"/>
      <w:numFmt w:val="decimal"/>
      <w:lvlText w:val="%1"/>
      <w:lvlJc w:val="left"/>
      <w:pPr>
        <w:ind w:left="1850"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73A541D"/>
    <w:multiLevelType w:val="hybridMultilevel"/>
    <w:tmpl w:val="5E7C1530"/>
    <w:lvl w:ilvl="0" w:tplc="21283E7E">
      <w:start w:val="1"/>
      <w:numFmt w:val="bullet"/>
      <w:lvlText w:val="–"/>
      <w:lvlJc w:val="left"/>
      <w:pPr>
        <w:tabs>
          <w:tab w:val="num" w:pos="720"/>
        </w:tabs>
        <w:ind w:left="720" w:hanging="360"/>
      </w:pPr>
      <w:rPr>
        <w:rFonts w:ascii="Arial" w:hAnsi="Arial" w:hint="default"/>
      </w:rPr>
    </w:lvl>
    <w:lvl w:ilvl="1" w:tplc="E7B00E20">
      <w:start w:val="1"/>
      <w:numFmt w:val="bullet"/>
      <w:lvlText w:val="–"/>
      <w:lvlJc w:val="left"/>
      <w:pPr>
        <w:tabs>
          <w:tab w:val="num" w:pos="1440"/>
        </w:tabs>
        <w:ind w:left="1440" w:hanging="360"/>
      </w:pPr>
      <w:rPr>
        <w:rFonts w:ascii="Arial" w:hAnsi="Arial" w:hint="default"/>
      </w:rPr>
    </w:lvl>
    <w:lvl w:ilvl="2" w:tplc="29C61A1E" w:tentative="1">
      <w:start w:val="1"/>
      <w:numFmt w:val="bullet"/>
      <w:lvlText w:val="–"/>
      <w:lvlJc w:val="left"/>
      <w:pPr>
        <w:tabs>
          <w:tab w:val="num" w:pos="2160"/>
        </w:tabs>
        <w:ind w:left="2160" w:hanging="360"/>
      </w:pPr>
      <w:rPr>
        <w:rFonts w:ascii="Arial" w:hAnsi="Arial" w:hint="default"/>
      </w:rPr>
    </w:lvl>
    <w:lvl w:ilvl="3" w:tplc="35EE4374" w:tentative="1">
      <w:start w:val="1"/>
      <w:numFmt w:val="bullet"/>
      <w:lvlText w:val="–"/>
      <w:lvlJc w:val="left"/>
      <w:pPr>
        <w:tabs>
          <w:tab w:val="num" w:pos="2880"/>
        </w:tabs>
        <w:ind w:left="2880" w:hanging="360"/>
      </w:pPr>
      <w:rPr>
        <w:rFonts w:ascii="Arial" w:hAnsi="Arial" w:hint="default"/>
      </w:rPr>
    </w:lvl>
    <w:lvl w:ilvl="4" w:tplc="26BC7346" w:tentative="1">
      <w:start w:val="1"/>
      <w:numFmt w:val="bullet"/>
      <w:lvlText w:val="–"/>
      <w:lvlJc w:val="left"/>
      <w:pPr>
        <w:tabs>
          <w:tab w:val="num" w:pos="3600"/>
        </w:tabs>
        <w:ind w:left="3600" w:hanging="360"/>
      </w:pPr>
      <w:rPr>
        <w:rFonts w:ascii="Arial" w:hAnsi="Arial" w:hint="default"/>
      </w:rPr>
    </w:lvl>
    <w:lvl w:ilvl="5" w:tplc="E3247ADE" w:tentative="1">
      <w:start w:val="1"/>
      <w:numFmt w:val="bullet"/>
      <w:lvlText w:val="–"/>
      <w:lvlJc w:val="left"/>
      <w:pPr>
        <w:tabs>
          <w:tab w:val="num" w:pos="4320"/>
        </w:tabs>
        <w:ind w:left="4320" w:hanging="360"/>
      </w:pPr>
      <w:rPr>
        <w:rFonts w:ascii="Arial" w:hAnsi="Arial" w:hint="default"/>
      </w:rPr>
    </w:lvl>
    <w:lvl w:ilvl="6" w:tplc="1422E29A" w:tentative="1">
      <w:start w:val="1"/>
      <w:numFmt w:val="bullet"/>
      <w:lvlText w:val="–"/>
      <w:lvlJc w:val="left"/>
      <w:pPr>
        <w:tabs>
          <w:tab w:val="num" w:pos="5040"/>
        </w:tabs>
        <w:ind w:left="5040" w:hanging="360"/>
      </w:pPr>
      <w:rPr>
        <w:rFonts w:ascii="Arial" w:hAnsi="Arial" w:hint="default"/>
      </w:rPr>
    </w:lvl>
    <w:lvl w:ilvl="7" w:tplc="A85EB174" w:tentative="1">
      <w:start w:val="1"/>
      <w:numFmt w:val="bullet"/>
      <w:lvlText w:val="–"/>
      <w:lvlJc w:val="left"/>
      <w:pPr>
        <w:tabs>
          <w:tab w:val="num" w:pos="5760"/>
        </w:tabs>
        <w:ind w:left="5760" w:hanging="360"/>
      </w:pPr>
      <w:rPr>
        <w:rFonts w:ascii="Arial" w:hAnsi="Arial" w:hint="default"/>
      </w:rPr>
    </w:lvl>
    <w:lvl w:ilvl="8" w:tplc="2D28BD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D353F2"/>
    <w:multiLevelType w:val="multilevel"/>
    <w:tmpl w:val="E988C4F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2572C02"/>
    <w:multiLevelType w:val="hybridMultilevel"/>
    <w:tmpl w:val="19E4A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46187"/>
    <w:multiLevelType w:val="hybridMultilevel"/>
    <w:tmpl w:val="4A2A9F70"/>
    <w:lvl w:ilvl="0" w:tplc="015C8EAE">
      <w:start w:val="1"/>
      <w:numFmt w:val="decimal"/>
      <w:pStyle w:val="Heading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cs="Times New Roman" w:hint="default"/>
      </w:rPr>
    </w:lvl>
    <w:lvl w:ilvl="1" w:tplc="11400A56">
      <w:start w:val="1"/>
      <w:numFmt w:val="bullet"/>
      <w:lvlText w:val="•"/>
      <w:lvlJc w:val="left"/>
      <w:pPr>
        <w:tabs>
          <w:tab w:val="num" w:pos="1440"/>
        </w:tabs>
        <w:ind w:left="1440" w:hanging="360"/>
      </w:pPr>
      <w:rPr>
        <w:rFonts w:ascii="Arial" w:hAnsi="Arial" w:cs="Times New Roman" w:hint="default"/>
      </w:rPr>
    </w:lvl>
    <w:lvl w:ilvl="2" w:tplc="FB521B3A">
      <w:start w:val="1"/>
      <w:numFmt w:val="bullet"/>
      <w:lvlText w:val="•"/>
      <w:lvlJc w:val="left"/>
      <w:pPr>
        <w:tabs>
          <w:tab w:val="num" w:pos="2160"/>
        </w:tabs>
        <w:ind w:left="2160" w:hanging="360"/>
      </w:pPr>
      <w:rPr>
        <w:rFonts w:ascii="Arial" w:hAnsi="Arial" w:cs="Times New Roman" w:hint="default"/>
      </w:rPr>
    </w:lvl>
    <w:lvl w:ilvl="3" w:tplc="EFB6B434">
      <w:start w:val="1"/>
      <w:numFmt w:val="bullet"/>
      <w:lvlText w:val="•"/>
      <w:lvlJc w:val="left"/>
      <w:pPr>
        <w:tabs>
          <w:tab w:val="num" w:pos="2880"/>
        </w:tabs>
        <w:ind w:left="2880" w:hanging="360"/>
      </w:pPr>
      <w:rPr>
        <w:rFonts w:ascii="Arial" w:hAnsi="Arial" w:cs="Times New Roman" w:hint="default"/>
      </w:rPr>
    </w:lvl>
    <w:lvl w:ilvl="4" w:tplc="A8EE34D2">
      <w:start w:val="1"/>
      <w:numFmt w:val="bullet"/>
      <w:lvlText w:val="•"/>
      <w:lvlJc w:val="left"/>
      <w:pPr>
        <w:tabs>
          <w:tab w:val="num" w:pos="3600"/>
        </w:tabs>
        <w:ind w:left="3600" w:hanging="360"/>
      </w:pPr>
      <w:rPr>
        <w:rFonts w:ascii="Arial" w:hAnsi="Arial" w:cs="Times New Roman" w:hint="default"/>
      </w:rPr>
    </w:lvl>
    <w:lvl w:ilvl="5" w:tplc="D6D2E016">
      <w:start w:val="1"/>
      <w:numFmt w:val="bullet"/>
      <w:lvlText w:val="•"/>
      <w:lvlJc w:val="left"/>
      <w:pPr>
        <w:tabs>
          <w:tab w:val="num" w:pos="4320"/>
        </w:tabs>
        <w:ind w:left="4320" w:hanging="360"/>
      </w:pPr>
      <w:rPr>
        <w:rFonts w:ascii="Arial" w:hAnsi="Arial" w:cs="Times New Roman" w:hint="default"/>
      </w:rPr>
    </w:lvl>
    <w:lvl w:ilvl="6" w:tplc="3022CF26">
      <w:start w:val="1"/>
      <w:numFmt w:val="bullet"/>
      <w:lvlText w:val="•"/>
      <w:lvlJc w:val="left"/>
      <w:pPr>
        <w:tabs>
          <w:tab w:val="num" w:pos="5040"/>
        </w:tabs>
        <w:ind w:left="5040" w:hanging="360"/>
      </w:pPr>
      <w:rPr>
        <w:rFonts w:ascii="Arial" w:hAnsi="Arial" w:cs="Times New Roman" w:hint="default"/>
      </w:rPr>
    </w:lvl>
    <w:lvl w:ilvl="7" w:tplc="692E71AE">
      <w:start w:val="1"/>
      <w:numFmt w:val="bullet"/>
      <w:lvlText w:val="•"/>
      <w:lvlJc w:val="left"/>
      <w:pPr>
        <w:tabs>
          <w:tab w:val="num" w:pos="5760"/>
        </w:tabs>
        <w:ind w:left="5760" w:hanging="360"/>
      </w:pPr>
      <w:rPr>
        <w:rFonts w:ascii="Arial" w:hAnsi="Arial" w:cs="Times New Roman" w:hint="default"/>
      </w:rPr>
    </w:lvl>
    <w:lvl w:ilvl="8" w:tplc="85CA40D6">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788296C"/>
    <w:multiLevelType w:val="hybridMultilevel"/>
    <w:tmpl w:val="845ADB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15108A"/>
    <w:multiLevelType w:val="hybridMultilevel"/>
    <w:tmpl w:val="6052C188"/>
    <w:lvl w:ilvl="0" w:tplc="0409000F">
      <w:start w:val="1"/>
      <w:numFmt w:val="decimal"/>
      <w:lvlText w:val="%1."/>
      <w:lvlJc w:val="left"/>
      <w:pPr>
        <w:tabs>
          <w:tab w:val="num" w:pos="720"/>
        </w:tabs>
        <w:ind w:left="720" w:hanging="360"/>
      </w:pPr>
      <w:rPr>
        <w:rFonts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cs="Times New Roman" w:hint="default"/>
      </w:rPr>
    </w:lvl>
    <w:lvl w:ilvl="1" w:tplc="56B2874E">
      <w:start w:val="2952"/>
      <w:numFmt w:val="bullet"/>
      <w:lvlText w:val="–"/>
      <w:lvlJc w:val="left"/>
      <w:pPr>
        <w:tabs>
          <w:tab w:val="num" w:pos="1440"/>
        </w:tabs>
        <w:ind w:left="1440" w:hanging="360"/>
      </w:pPr>
      <w:rPr>
        <w:rFonts w:ascii="Arial" w:hAnsi="Arial" w:cs="Times New Roman" w:hint="default"/>
      </w:rPr>
    </w:lvl>
    <w:lvl w:ilvl="2" w:tplc="5A2CC872">
      <w:start w:val="2952"/>
      <w:numFmt w:val="bullet"/>
      <w:lvlText w:val="•"/>
      <w:lvlJc w:val="left"/>
      <w:pPr>
        <w:tabs>
          <w:tab w:val="num" w:pos="2160"/>
        </w:tabs>
        <w:ind w:left="2160" w:hanging="360"/>
      </w:pPr>
      <w:rPr>
        <w:rFonts w:ascii="Arial" w:hAnsi="Arial" w:cs="Times New Roman" w:hint="default"/>
      </w:rPr>
    </w:lvl>
    <w:lvl w:ilvl="3" w:tplc="3044E658">
      <w:start w:val="1"/>
      <w:numFmt w:val="bullet"/>
      <w:lvlText w:val="•"/>
      <w:lvlJc w:val="left"/>
      <w:pPr>
        <w:tabs>
          <w:tab w:val="num" w:pos="2880"/>
        </w:tabs>
        <w:ind w:left="2880" w:hanging="360"/>
      </w:pPr>
      <w:rPr>
        <w:rFonts w:ascii="Arial" w:hAnsi="Arial" w:cs="Times New Roman" w:hint="default"/>
      </w:rPr>
    </w:lvl>
    <w:lvl w:ilvl="4" w:tplc="4E1CE160">
      <w:start w:val="1"/>
      <w:numFmt w:val="bullet"/>
      <w:lvlText w:val="•"/>
      <w:lvlJc w:val="left"/>
      <w:pPr>
        <w:tabs>
          <w:tab w:val="num" w:pos="3600"/>
        </w:tabs>
        <w:ind w:left="3600" w:hanging="360"/>
      </w:pPr>
      <w:rPr>
        <w:rFonts w:ascii="Arial" w:hAnsi="Arial" w:cs="Times New Roman" w:hint="default"/>
      </w:rPr>
    </w:lvl>
    <w:lvl w:ilvl="5" w:tplc="DA7EA89A">
      <w:start w:val="1"/>
      <w:numFmt w:val="bullet"/>
      <w:lvlText w:val="•"/>
      <w:lvlJc w:val="left"/>
      <w:pPr>
        <w:tabs>
          <w:tab w:val="num" w:pos="4320"/>
        </w:tabs>
        <w:ind w:left="4320" w:hanging="360"/>
      </w:pPr>
      <w:rPr>
        <w:rFonts w:ascii="Arial" w:hAnsi="Arial" w:cs="Times New Roman" w:hint="default"/>
      </w:rPr>
    </w:lvl>
    <w:lvl w:ilvl="6" w:tplc="B3CE6668">
      <w:start w:val="1"/>
      <w:numFmt w:val="bullet"/>
      <w:lvlText w:val="•"/>
      <w:lvlJc w:val="left"/>
      <w:pPr>
        <w:tabs>
          <w:tab w:val="num" w:pos="5040"/>
        </w:tabs>
        <w:ind w:left="5040" w:hanging="360"/>
      </w:pPr>
      <w:rPr>
        <w:rFonts w:ascii="Arial" w:hAnsi="Arial" w:cs="Times New Roman" w:hint="default"/>
      </w:rPr>
    </w:lvl>
    <w:lvl w:ilvl="7" w:tplc="3E3E3044">
      <w:start w:val="1"/>
      <w:numFmt w:val="bullet"/>
      <w:lvlText w:val="•"/>
      <w:lvlJc w:val="left"/>
      <w:pPr>
        <w:tabs>
          <w:tab w:val="num" w:pos="5760"/>
        </w:tabs>
        <w:ind w:left="5760" w:hanging="360"/>
      </w:pPr>
      <w:rPr>
        <w:rFonts w:ascii="Arial" w:hAnsi="Arial" w:cs="Times New Roman" w:hint="default"/>
      </w:rPr>
    </w:lvl>
    <w:lvl w:ilvl="8" w:tplc="269C828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5CEA42DF"/>
    <w:multiLevelType w:val="multilevel"/>
    <w:tmpl w:val="3D8698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CF307B4"/>
    <w:multiLevelType w:val="hybridMultilevel"/>
    <w:tmpl w:val="5E3EFD00"/>
    <w:lvl w:ilvl="0" w:tplc="FF2A9AFA">
      <w:start w:val="39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7EA2355"/>
    <w:multiLevelType w:val="multilevel"/>
    <w:tmpl w:val="C486EF02"/>
    <w:lvl w:ilvl="0">
      <w:start w:val="1"/>
      <w:numFmt w:val="lowerLetter"/>
      <w:pStyle w:val="Heading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6"/>
  </w:num>
  <w:num w:numId="3">
    <w:abstractNumId w:val="23"/>
  </w:num>
  <w:num w:numId="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4"/>
  </w:num>
  <w:num w:numId="6">
    <w:abstractNumId w:val="10"/>
  </w:num>
  <w:num w:numId="7">
    <w:abstractNumId w:val="7"/>
  </w:num>
  <w:num w:numId="8">
    <w:abstractNumId w:val="17"/>
  </w:num>
  <w:num w:numId="9">
    <w:abstractNumId w:val="22"/>
  </w:num>
  <w:num w:numId="10">
    <w:abstractNumId w:val="12"/>
  </w:num>
  <w:num w:numId="11">
    <w:abstractNumId w:val="15"/>
  </w:num>
  <w:num w:numId="12">
    <w:abstractNumId w:val="7"/>
  </w:num>
  <w:num w:numId="13">
    <w:abstractNumId w:val="16"/>
  </w:num>
  <w:num w:numId="14">
    <w:abstractNumId w:val="22"/>
  </w:num>
  <w:num w:numId="15">
    <w:abstractNumId w:val="19"/>
  </w:num>
  <w:num w:numId="16">
    <w:abstractNumId w:val="9"/>
  </w:num>
  <w:num w:numId="17">
    <w:abstractNumId w:val="20"/>
  </w:num>
  <w:num w:numId="18">
    <w:abstractNumId w:val="6"/>
  </w:num>
  <w:num w:numId="19">
    <w:abstractNumId w:val="6"/>
  </w:num>
  <w:num w:numId="20">
    <w:abstractNumId w:val="1"/>
  </w:num>
  <w:num w:numId="21">
    <w:abstractNumId w:val="14"/>
  </w:num>
  <w:num w:numId="22">
    <w:abstractNumId w:val="2"/>
  </w:num>
  <w:num w:numId="23">
    <w:abstractNumId w:val="13"/>
  </w:num>
  <w:num w:numId="24">
    <w:abstractNumId w:val="11"/>
  </w:num>
  <w:num w:numId="25">
    <w:abstractNumId w:val="18"/>
  </w:num>
  <w:num w:numId="26">
    <w:abstractNumId w:val="21"/>
  </w:num>
  <w:num w:numId="27">
    <w:abstractNumId w:val="8"/>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3A5"/>
    <w:rsid w:val="0000518C"/>
    <w:rsid w:val="00005DAC"/>
    <w:rsid w:val="00006283"/>
    <w:rsid w:val="00015D76"/>
    <w:rsid w:val="0002130C"/>
    <w:rsid w:val="00021E66"/>
    <w:rsid w:val="00024A3E"/>
    <w:rsid w:val="00031651"/>
    <w:rsid w:val="0003446F"/>
    <w:rsid w:val="000400D2"/>
    <w:rsid w:val="00043A69"/>
    <w:rsid w:val="00043AA7"/>
    <w:rsid w:val="00051826"/>
    <w:rsid w:val="00054104"/>
    <w:rsid w:val="00056651"/>
    <w:rsid w:val="00076A5C"/>
    <w:rsid w:val="00081BB9"/>
    <w:rsid w:val="000855F9"/>
    <w:rsid w:val="00094001"/>
    <w:rsid w:val="000953E3"/>
    <w:rsid w:val="000A291E"/>
    <w:rsid w:val="000A4D4C"/>
    <w:rsid w:val="000C2957"/>
    <w:rsid w:val="000C2F7B"/>
    <w:rsid w:val="000D423A"/>
    <w:rsid w:val="000D52EE"/>
    <w:rsid w:val="000E3769"/>
    <w:rsid w:val="000E3EE5"/>
    <w:rsid w:val="000E42E1"/>
    <w:rsid w:val="000E4AB3"/>
    <w:rsid w:val="000E5013"/>
    <w:rsid w:val="000F4FF1"/>
    <w:rsid w:val="001019A9"/>
    <w:rsid w:val="001109A0"/>
    <w:rsid w:val="0011508D"/>
    <w:rsid w:val="001257FA"/>
    <w:rsid w:val="00131B50"/>
    <w:rsid w:val="00132110"/>
    <w:rsid w:val="00144521"/>
    <w:rsid w:val="001672BD"/>
    <w:rsid w:val="001675C1"/>
    <w:rsid w:val="00173A70"/>
    <w:rsid w:val="00176C36"/>
    <w:rsid w:val="00184791"/>
    <w:rsid w:val="00184A6C"/>
    <w:rsid w:val="001903E5"/>
    <w:rsid w:val="0019096C"/>
    <w:rsid w:val="00194EFB"/>
    <w:rsid w:val="001A3718"/>
    <w:rsid w:val="001B1737"/>
    <w:rsid w:val="001C4BE9"/>
    <w:rsid w:val="001D2C1D"/>
    <w:rsid w:val="001E18BD"/>
    <w:rsid w:val="001F1B8C"/>
    <w:rsid w:val="001F2BD9"/>
    <w:rsid w:val="001F3AC8"/>
    <w:rsid w:val="001F47F8"/>
    <w:rsid w:val="0020237F"/>
    <w:rsid w:val="00203FCF"/>
    <w:rsid w:val="00204A2E"/>
    <w:rsid w:val="00205F17"/>
    <w:rsid w:val="00213A37"/>
    <w:rsid w:val="00220075"/>
    <w:rsid w:val="002271A3"/>
    <w:rsid w:val="00237C7A"/>
    <w:rsid w:val="002551A2"/>
    <w:rsid w:val="0026132B"/>
    <w:rsid w:val="00264D33"/>
    <w:rsid w:val="00271BAA"/>
    <w:rsid w:val="00273ABF"/>
    <w:rsid w:val="002741ED"/>
    <w:rsid w:val="0027570F"/>
    <w:rsid w:val="002822BB"/>
    <w:rsid w:val="00291580"/>
    <w:rsid w:val="002958F0"/>
    <w:rsid w:val="0029608A"/>
    <w:rsid w:val="002A70B8"/>
    <w:rsid w:val="002B307E"/>
    <w:rsid w:val="002C58F5"/>
    <w:rsid w:val="002C5B13"/>
    <w:rsid w:val="002C77EB"/>
    <w:rsid w:val="002E04E8"/>
    <w:rsid w:val="003009C3"/>
    <w:rsid w:val="00307847"/>
    <w:rsid w:val="0031232B"/>
    <w:rsid w:val="00320800"/>
    <w:rsid w:val="003309EF"/>
    <w:rsid w:val="00336C0F"/>
    <w:rsid w:val="003439E5"/>
    <w:rsid w:val="003518E6"/>
    <w:rsid w:val="00362ADE"/>
    <w:rsid w:val="0036301C"/>
    <w:rsid w:val="00367EC7"/>
    <w:rsid w:val="00371E13"/>
    <w:rsid w:val="00384C6B"/>
    <w:rsid w:val="003913B5"/>
    <w:rsid w:val="003A64AE"/>
    <w:rsid w:val="003B0250"/>
    <w:rsid w:val="003C13EB"/>
    <w:rsid w:val="003C42CC"/>
    <w:rsid w:val="003F5001"/>
    <w:rsid w:val="003F6616"/>
    <w:rsid w:val="00404459"/>
    <w:rsid w:val="00406405"/>
    <w:rsid w:val="00420BE4"/>
    <w:rsid w:val="00434E41"/>
    <w:rsid w:val="004371E9"/>
    <w:rsid w:val="00440AE1"/>
    <w:rsid w:val="00457881"/>
    <w:rsid w:val="00464C80"/>
    <w:rsid w:val="00465B6B"/>
    <w:rsid w:val="00475F31"/>
    <w:rsid w:val="004924F5"/>
    <w:rsid w:val="004977C4"/>
    <w:rsid w:val="004A79F4"/>
    <w:rsid w:val="004C4605"/>
    <w:rsid w:val="004C6DDC"/>
    <w:rsid w:val="004D7A00"/>
    <w:rsid w:val="004E1779"/>
    <w:rsid w:val="004E3D63"/>
    <w:rsid w:val="004E5CFF"/>
    <w:rsid w:val="004F065C"/>
    <w:rsid w:val="004F2AC9"/>
    <w:rsid w:val="004F48CE"/>
    <w:rsid w:val="00504821"/>
    <w:rsid w:val="005066CC"/>
    <w:rsid w:val="0051063D"/>
    <w:rsid w:val="005169A5"/>
    <w:rsid w:val="0052053F"/>
    <w:rsid w:val="00525AC9"/>
    <w:rsid w:val="005278D2"/>
    <w:rsid w:val="0053032A"/>
    <w:rsid w:val="005304CD"/>
    <w:rsid w:val="005324C6"/>
    <w:rsid w:val="00533EF3"/>
    <w:rsid w:val="005356AF"/>
    <w:rsid w:val="005616DF"/>
    <w:rsid w:val="005625EE"/>
    <w:rsid w:val="00564055"/>
    <w:rsid w:val="00570CB5"/>
    <w:rsid w:val="00573673"/>
    <w:rsid w:val="0057523F"/>
    <w:rsid w:val="00577528"/>
    <w:rsid w:val="00583508"/>
    <w:rsid w:val="00583DD1"/>
    <w:rsid w:val="00587CFF"/>
    <w:rsid w:val="005A20B2"/>
    <w:rsid w:val="005B1E4C"/>
    <w:rsid w:val="005B1F2C"/>
    <w:rsid w:val="005C3E2E"/>
    <w:rsid w:val="005D416C"/>
    <w:rsid w:val="00601910"/>
    <w:rsid w:val="006043FA"/>
    <w:rsid w:val="00615B6A"/>
    <w:rsid w:val="00621235"/>
    <w:rsid w:val="00621602"/>
    <w:rsid w:val="00643B52"/>
    <w:rsid w:val="00647C08"/>
    <w:rsid w:val="006512A6"/>
    <w:rsid w:val="006667F7"/>
    <w:rsid w:val="00672AB2"/>
    <w:rsid w:val="00680BFE"/>
    <w:rsid w:val="00683DA4"/>
    <w:rsid w:val="00685ACC"/>
    <w:rsid w:val="006951D1"/>
    <w:rsid w:val="006A02DC"/>
    <w:rsid w:val="006A33A5"/>
    <w:rsid w:val="006A7318"/>
    <w:rsid w:val="006D0EE5"/>
    <w:rsid w:val="006E3313"/>
    <w:rsid w:val="006E7BC1"/>
    <w:rsid w:val="006F0C14"/>
    <w:rsid w:val="0070670D"/>
    <w:rsid w:val="0071686D"/>
    <w:rsid w:val="00725668"/>
    <w:rsid w:val="00730833"/>
    <w:rsid w:val="007454AB"/>
    <w:rsid w:val="00752A2E"/>
    <w:rsid w:val="00762590"/>
    <w:rsid w:val="00776C8E"/>
    <w:rsid w:val="00785996"/>
    <w:rsid w:val="007A26C5"/>
    <w:rsid w:val="007A445E"/>
    <w:rsid w:val="007B1946"/>
    <w:rsid w:val="007B6337"/>
    <w:rsid w:val="007C1FA3"/>
    <w:rsid w:val="007C4BFE"/>
    <w:rsid w:val="007D5049"/>
    <w:rsid w:val="007E0CCD"/>
    <w:rsid w:val="007E3ED5"/>
    <w:rsid w:val="007F2453"/>
    <w:rsid w:val="007F3F2A"/>
    <w:rsid w:val="007F74BF"/>
    <w:rsid w:val="00815385"/>
    <w:rsid w:val="008216B8"/>
    <w:rsid w:val="00833BFE"/>
    <w:rsid w:val="00840CBD"/>
    <w:rsid w:val="008508CD"/>
    <w:rsid w:val="00855696"/>
    <w:rsid w:val="00873101"/>
    <w:rsid w:val="00877765"/>
    <w:rsid w:val="00881C0F"/>
    <w:rsid w:val="008A1F32"/>
    <w:rsid w:val="008B5655"/>
    <w:rsid w:val="008B6DDD"/>
    <w:rsid w:val="008C239A"/>
    <w:rsid w:val="008C5D02"/>
    <w:rsid w:val="008D2A5C"/>
    <w:rsid w:val="008D3BB0"/>
    <w:rsid w:val="008D7BD6"/>
    <w:rsid w:val="008E2AEB"/>
    <w:rsid w:val="008E6C5E"/>
    <w:rsid w:val="00914D73"/>
    <w:rsid w:val="009328BD"/>
    <w:rsid w:val="0093422E"/>
    <w:rsid w:val="00935ACE"/>
    <w:rsid w:val="00935FCC"/>
    <w:rsid w:val="0094050A"/>
    <w:rsid w:val="00944318"/>
    <w:rsid w:val="009447F3"/>
    <w:rsid w:val="00946473"/>
    <w:rsid w:val="00947677"/>
    <w:rsid w:val="00961495"/>
    <w:rsid w:val="0096291F"/>
    <w:rsid w:val="00965591"/>
    <w:rsid w:val="00970247"/>
    <w:rsid w:val="009733A4"/>
    <w:rsid w:val="009A23AF"/>
    <w:rsid w:val="009A3000"/>
    <w:rsid w:val="009B25E1"/>
    <w:rsid w:val="009B3864"/>
    <w:rsid w:val="009B7B24"/>
    <w:rsid w:val="009C2DD7"/>
    <w:rsid w:val="009D1850"/>
    <w:rsid w:val="009D7305"/>
    <w:rsid w:val="009E2C30"/>
    <w:rsid w:val="009F6303"/>
    <w:rsid w:val="00A05B3F"/>
    <w:rsid w:val="00A141F4"/>
    <w:rsid w:val="00A17630"/>
    <w:rsid w:val="00A24675"/>
    <w:rsid w:val="00A408D7"/>
    <w:rsid w:val="00A41880"/>
    <w:rsid w:val="00A4292B"/>
    <w:rsid w:val="00A429EA"/>
    <w:rsid w:val="00A45CBB"/>
    <w:rsid w:val="00A4615C"/>
    <w:rsid w:val="00A61EF4"/>
    <w:rsid w:val="00A70177"/>
    <w:rsid w:val="00A76FE0"/>
    <w:rsid w:val="00A86373"/>
    <w:rsid w:val="00A92022"/>
    <w:rsid w:val="00A95DB8"/>
    <w:rsid w:val="00A963D9"/>
    <w:rsid w:val="00A9692F"/>
    <w:rsid w:val="00AA0B0A"/>
    <w:rsid w:val="00AA0CBA"/>
    <w:rsid w:val="00AA58EC"/>
    <w:rsid w:val="00AC5CD2"/>
    <w:rsid w:val="00AC6C88"/>
    <w:rsid w:val="00AD599C"/>
    <w:rsid w:val="00AE384A"/>
    <w:rsid w:val="00AE61D7"/>
    <w:rsid w:val="00AF5C76"/>
    <w:rsid w:val="00B011DC"/>
    <w:rsid w:val="00B026D0"/>
    <w:rsid w:val="00B1634B"/>
    <w:rsid w:val="00B16979"/>
    <w:rsid w:val="00B17730"/>
    <w:rsid w:val="00B21525"/>
    <w:rsid w:val="00B24772"/>
    <w:rsid w:val="00B26CC7"/>
    <w:rsid w:val="00B37CBB"/>
    <w:rsid w:val="00B40C44"/>
    <w:rsid w:val="00B43C0E"/>
    <w:rsid w:val="00B4775A"/>
    <w:rsid w:val="00B532DF"/>
    <w:rsid w:val="00B60160"/>
    <w:rsid w:val="00B611AA"/>
    <w:rsid w:val="00B657D6"/>
    <w:rsid w:val="00B91290"/>
    <w:rsid w:val="00B928DB"/>
    <w:rsid w:val="00BA3EC2"/>
    <w:rsid w:val="00BA6DCE"/>
    <w:rsid w:val="00BC51D0"/>
    <w:rsid w:val="00BE0186"/>
    <w:rsid w:val="00BF7281"/>
    <w:rsid w:val="00C04716"/>
    <w:rsid w:val="00C11CB9"/>
    <w:rsid w:val="00C2055A"/>
    <w:rsid w:val="00C2376F"/>
    <w:rsid w:val="00C4137C"/>
    <w:rsid w:val="00C45A23"/>
    <w:rsid w:val="00C55616"/>
    <w:rsid w:val="00C633C4"/>
    <w:rsid w:val="00C76868"/>
    <w:rsid w:val="00C772B9"/>
    <w:rsid w:val="00C77B23"/>
    <w:rsid w:val="00C811E9"/>
    <w:rsid w:val="00C81E51"/>
    <w:rsid w:val="00C85689"/>
    <w:rsid w:val="00C8634C"/>
    <w:rsid w:val="00C87D75"/>
    <w:rsid w:val="00C9215A"/>
    <w:rsid w:val="00C923F1"/>
    <w:rsid w:val="00C93A80"/>
    <w:rsid w:val="00C94C3A"/>
    <w:rsid w:val="00C96D60"/>
    <w:rsid w:val="00CA63F9"/>
    <w:rsid w:val="00CA6903"/>
    <w:rsid w:val="00CA79DF"/>
    <w:rsid w:val="00CB0492"/>
    <w:rsid w:val="00CB24AC"/>
    <w:rsid w:val="00CB5468"/>
    <w:rsid w:val="00CB642F"/>
    <w:rsid w:val="00CC0324"/>
    <w:rsid w:val="00CC0D47"/>
    <w:rsid w:val="00CC4788"/>
    <w:rsid w:val="00CC60C6"/>
    <w:rsid w:val="00CE2121"/>
    <w:rsid w:val="00CF47F8"/>
    <w:rsid w:val="00CF482E"/>
    <w:rsid w:val="00CF5299"/>
    <w:rsid w:val="00D01695"/>
    <w:rsid w:val="00D01930"/>
    <w:rsid w:val="00D06D3F"/>
    <w:rsid w:val="00D12910"/>
    <w:rsid w:val="00D136A1"/>
    <w:rsid w:val="00D157DC"/>
    <w:rsid w:val="00D1622B"/>
    <w:rsid w:val="00D24360"/>
    <w:rsid w:val="00D42FA6"/>
    <w:rsid w:val="00D46FDA"/>
    <w:rsid w:val="00D66FF8"/>
    <w:rsid w:val="00DA576D"/>
    <w:rsid w:val="00DA72DE"/>
    <w:rsid w:val="00DB7873"/>
    <w:rsid w:val="00DC32F9"/>
    <w:rsid w:val="00DD503C"/>
    <w:rsid w:val="00DE3CA2"/>
    <w:rsid w:val="00DF48E8"/>
    <w:rsid w:val="00E01AE9"/>
    <w:rsid w:val="00E03500"/>
    <w:rsid w:val="00E10CE1"/>
    <w:rsid w:val="00E137BA"/>
    <w:rsid w:val="00E2770F"/>
    <w:rsid w:val="00E3516B"/>
    <w:rsid w:val="00E70C05"/>
    <w:rsid w:val="00E72E0E"/>
    <w:rsid w:val="00E90D2D"/>
    <w:rsid w:val="00E915EB"/>
    <w:rsid w:val="00EA3CE6"/>
    <w:rsid w:val="00EA5CF0"/>
    <w:rsid w:val="00EB7EAE"/>
    <w:rsid w:val="00ED1620"/>
    <w:rsid w:val="00ED1DBF"/>
    <w:rsid w:val="00EE4B56"/>
    <w:rsid w:val="00EF0DA8"/>
    <w:rsid w:val="00EF186F"/>
    <w:rsid w:val="00EF5AE7"/>
    <w:rsid w:val="00F0041B"/>
    <w:rsid w:val="00F054E1"/>
    <w:rsid w:val="00F12444"/>
    <w:rsid w:val="00F24E5A"/>
    <w:rsid w:val="00F37AA3"/>
    <w:rsid w:val="00F45AB5"/>
    <w:rsid w:val="00F51C83"/>
    <w:rsid w:val="00F54C36"/>
    <w:rsid w:val="00F55623"/>
    <w:rsid w:val="00F55C23"/>
    <w:rsid w:val="00F565A9"/>
    <w:rsid w:val="00F62538"/>
    <w:rsid w:val="00F66319"/>
    <w:rsid w:val="00F91A48"/>
    <w:rsid w:val="00F938B5"/>
    <w:rsid w:val="00F93FC8"/>
    <w:rsid w:val="00F95F61"/>
    <w:rsid w:val="00FA0719"/>
    <w:rsid w:val="00FA0A4F"/>
    <w:rsid w:val="00FA446D"/>
    <w:rsid w:val="00FC159C"/>
    <w:rsid w:val="00FE3AED"/>
    <w:rsid w:val="00FE6DB0"/>
    <w:rsid w:val="00FF5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F3864C3"/>
  <w15:chartTrackingRefBased/>
  <w15:docId w15:val="{3BE89C89-FF8F-4DFB-92CB-2AB189E2A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33A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6A33A5"/>
    <w:pPr>
      <w:keepNext/>
      <w:keepLines/>
      <w:numPr>
        <w:numId w:val="2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A33A5"/>
    <w:pPr>
      <w:numPr>
        <w:numId w:val="26"/>
      </w:numPr>
      <w:pBdr>
        <w:top w:val="none" w:sz="0" w:space="0" w:color="auto"/>
      </w:pBdr>
      <w:spacing w:before="180"/>
      <w:outlineLvl w:val="1"/>
    </w:pPr>
    <w:rPr>
      <w:sz w:val="32"/>
    </w:rPr>
  </w:style>
  <w:style w:type="paragraph" w:styleId="Heading3">
    <w:name w:val="heading 3"/>
    <w:basedOn w:val="Heading2"/>
    <w:next w:val="Normal"/>
    <w:link w:val="Heading3Char"/>
    <w:qFormat/>
    <w:rsid w:val="006A33A5"/>
    <w:pPr>
      <w:tabs>
        <w:tab w:val="num" w:pos="360"/>
      </w:tabs>
      <w:spacing w:before="120"/>
      <w:ind w:left="720" w:hanging="720"/>
      <w:outlineLvl w:val="2"/>
    </w:pPr>
    <w:rPr>
      <w:sz w:val="28"/>
    </w:rPr>
  </w:style>
  <w:style w:type="paragraph" w:styleId="Heading4">
    <w:name w:val="heading 4"/>
    <w:aliases w:val="h4"/>
    <w:basedOn w:val="Heading3"/>
    <w:next w:val="Normal"/>
    <w:link w:val="Heading4Char"/>
    <w:qFormat/>
    <w:rsid w:val="006A33A5"/>
    <w:pPr>
      <w:ind w:left="864" w:hanging="864"/>
      <w:outlineLvl w:val="3"/>
    </w:pPr>
    <w:rPr>
      <w:sz w:val="24"/>
    </w:rPr>
  </w:style>
  <w:style w:type="paragraph" w:styleId="Heading5">
    <w:name w:val="heading 5"/>
    <w:basedOn w:val="Heading4"/>
    <w:next w:val="Normal"/>
    <w:link w:val="Heading5Char"/>
    <w:qFormat/>
    <w:rsid w:val="006A33A5"/>
    <w:pPr>
      <w:ind w:left="1008" w:hanging="1008"/>
      <w:outlineLvl w:val="4"/>
    </w:pPr>
    <w:rPr>
      <w:sz w:val="22"/>
    </w:rPr>
  </w:style>
  <w:style w:type="paragraph" w:styleId="Heading6">
    <w:name w:val="heading 6"/>
    <w:basedOn w:val="Normal"/>
    <w:next w:val="Normal"/>
    <w:link w:val="Heading6Char"/>
    <w:qFormat/>
    <w:rsid w:val="006A33A5"/>
    <w:pPr>
      <w:keepNext/>
      <w:keepLines/>
      <w:spacing w:before="120"/>
      <w:ind w:left="1152" w:hanging="1152"/>
      <w:outlineLvl w:val="5"/>
    </w:pPr>
    <w:rPr>
      <w:rFonts w:ascii="Arial" w:hAnsi="Arial"/>
      <w:lang w:val="en-GB"/>
    </w:rPr>
  </w:style>
  <w:style w:type="paragraph" w:styleId="Heading7">
    <w:name w:val="heading 7"/>
    <w:basedOn w:val="Normal"/>
    <w:next w:val="Normal"/>
    <w:link w:val="Heading7Char"/>
    <w:qFormat/>
    <w:rsid w:val="006A33A5"/>
    <w:pPr>
      <w:keepNext/>
      <w:keepLines/>
      <w:spacing w:before="120"/>
      <w:ind w:left="1296" w:hanging="1296"/>
      <w:outlineLvl w:val="6"/>
    </w:pPr>
    <w:rPr>
      <w:rFonts w:ascii="Arial" w:hAnsi="Arial"/>
      <w:lang w:val="en-GB"/>
    </w:rPr>
  </w:style>
  <w:style w:type="paragraph" w:styleId="Heading8">
    <w:name w:val="heading 8"/>
    <w:basedOn w:val="Heading1"/>
    <w:next w:val="Normal"/>
    <w:link w:val="Heading8Char"/>
    <w:qFormat/>
    <w:rsid w:val="006A33A5"/>
    <w:pPr>
      <w:tabs>
        <w:tab w:val="num" w:pos="360"/>
      </w:tabs>
      <w:ind w:left="1440" w:hanging="1440"/>
      <w:outlineLvl w:val="7"/>
    </w:pPr>
  </w:style>
  <w:style w:type="paragraph" w:styleId="Heading9">
    <w:name w:val="heading 9"/>
    <w:basedOn w:val="Heading8"/>
    <w:next w:val="Normal"/>
    <w:link w:val="Heading9Char"/>
    <w:qFormat/>
    <w:rsid w:val="006A33A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A33A5"/>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rsid w:val="006A33A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6A33A5"/>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6A33A5"/>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6A33A5"/>
    <w:rPr>
      <w:rFonts w:ascii="Arial" w:eastAsia="SimSun" w:hAnsi="Arial" w:cs="Times New Roman"/>
      <w:szCs w:val="20"/>
      <w:lang w:val="en-GB" w:eastAsia="en-US"/>
    </w:rPr>
  </w:style>
  <w:style w:type="character" w:customStyle="1" w:styleId="Heading6Char">
    <w:name w:val="Heading 6 Char"/>
    <w:basedOn w:val="DefaultParagraphFont"/>
    <w:link w:val="Heading6"/>
    <w:rsid w:val="006A33A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6A33A5"/>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6A33A5"/>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6A33A5"/>
    <w:rPr>
      <w:rFonts w:ascii="Arial" w:eastAsia="SimSun" w:hAnsi="Arial" w:cs="Times New Roman"/>
      <w:sz w:val="36"/>
      <w:szCs w:val="20"/>
      <w:lang w:val="en-GB" w:eastAsia="en-US"/>
    </w:rPr>
  </w:style>
  <w:style w:type="paragraph" w:styleId="Footer">
    <w:name w:val="footer"/>
    <w:basedOn w:val="Header"/>
    <w:link w:val="FooterChar"/>
    <w:rsid w:val="006A33A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6A33A5"/>
    <w:rPr>
      <w:rFonts w:ascii="Arial" w:eastAsia="SimSun" w:hAnsi="Arial" w:cs="Times New Roman"/>
      <w:b/>
      <w:i/>
      <w:noProof/>
      <w:sz w:val="18"/>
      <w:szCs w:val="20"/>
      <w:lang w:eastAsia="en-US"/>
    </w:rPr>
  </w:style>
  <w:style w:type="table" w:styleId="TableGrid">
    <w:name w:val="Table Grid"/>
    <w:basedOn w:val="TableNormal"/>
    <w:uiPriority w:val="59"/>
    <w:rsid w:val="006A33A5"/>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A33A5"/>
  </w:style>
  <w:style w:type="character" w:customStyle="1" w:styleId="Heading1Char1">
    <w:name w:val="Heading 1 Char1"/>
    <w:link w:val="Heading1"/>
    <w:rsid w:val="006A33A5"/>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6A33A5"/>
    <w:pPr>
      <w:tabs>
        <w:tab w:val="center" w:pos="4680"/>
        <w:tab w:val="right" w:pos="9360"/>
      </w:tabs>
      <w:spacing w:after="0"/>
    </w:pPr>
  </w:style>
  <w:style w:type="character" w:customStyle="1" w:styleId="HeaderChar">
    <w:name w:val="Header Char"/>
    <w:basedOn w:val="DefaultParagraphFont"/>
    <w:link w:val="Header"/>
    <w:uiPriority w:val="99"/>
    <w:semiHidden/>
    <w:rsid w:val="006A33A5"/>
    <w:rPr>
      <w:rFonts w:ascii="Times New Roman" w:eastAsia="SimSun" w:hAnsi="Times New Roman" w:cs="Times New Roman"/>
      <w:sz w:val="20"/>
      <w:szCs w:val="20"/>
      <w:lang w:eastAsia="en-US"/>
    </w:rPr>
  </w:style>
  <w:style w:type="paragraph" w:styleId="BalloonText">
    <w:name w:val="Balloon Text"/>
    <w:basedOn w:val="Normal"/>
    <w:link w:val="BalloonTextChar"/>
    <w:uiPriority w:val="99"/>
    <w:semiHidden/>
    <w:unhideWhenUsed/>
    <w:rsid w:val="00833B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BFE"/>
    <w:rPr>
      <w:rFonts w:ascii="Segoe UI" w:eastAsia="SimSun" w:hAnsi="Segoe UI" w:cs="Segoe UI"/>
      <w:sz w:val="18"/>
      <w:szCs w:val="18"/>
      <w:lang w:eastAsia="en-US"/>
    </w:rPr>
  </w:style>
  <w:style w:type="paragraph" w:styleId="ListParagraph">
    <w:name w:val="List Paragraph"/>
    <w:basedOn w:val="Normal"/>
    <w:uiPriority w:val="34"/>
    <w:qFormat/>
    <w:rsid w:val="00B24772"/>
    <w:pPr>
      <w:ind w:left="720"/>
      <w:contextualSpacing/>
    </w:pPr>
  </w:style>
  <w:style w:type="character" w:styleId="CommentReference">
    <w:name w:val="annotation reference"/>
    <w:basedOn w:val="DefaultParagraphFont"/>
    <w:uiPriority w:val="99"/>
    <w:semiHidden/>
    <w:unhideWhenUsed/>
    <w:rsid w:val="00B24772"/>
    <w:rPr>
      <w:sz w:val="16"/>
      <w:szCs w:val="16"/>
    </w:rPr>
  </w:style>
  <w:style w:type="paragraph" w:styleId="CommentText">
    <w:name w:val="annotation text"/>
    <w:basedOn w:val="Normal"/>
    <w:link w:val="CommentTextChar"/>
    <w:uiPriority w:val="99"/>
    <w:semiHidden/>
    <w:unhideWhenUsed/>
    <w:rsid w:val="00B24772"/>
  </w:style>
  <w:style w:type="character" w:customStyle="1" w:styleId="CommentTextChar">
    <w:name w:val="Comment Text Char"/>
    <w:basedOn w:val="DefaultParagraphFont"/>
    <w:link w:val="CommentText"/>
    <w:uiPriority w:val="99"/>
    <w:semiHidden/>
    <w:rsid w:val="00B24772"/>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24772"/>
    <w:rPr>
      <w:b/>
      <w:bCs/>
    </w:rPr>
  </w:style>
  <w:style w:type="character" w:customStyle="1" w:styleId="CommentSubjectChar">
    <w:name w:val="Comment Subject Char"/>
    <w:basedOn w:val="CommentTextChar"/>
    <w:link w:val="CommentSubject"/>
    <w:uiPriority w:val="99"/>
    <w:semiHidden/>
    <w:rsid w:val="00B24772"/>
    <w:rPr>
      <w:rFonts w:ascii="Times New Roman" w:eastAsia="SimSun" w:hAnsi="Times New Roman" w:cs="Times New Roman"/>
      <w:b/>
      <w:bCs/>
      <w:sz w:val="20"/>
      <w:szCs w:val="20"/>
      <w:lang w:eastAsia="en-US"/>
    </w:rPr>
  </w:style>
  <w:style w:type="paragraph" w:styleId="Caption">
    <w:name w:val="caption"/>
    <w:basedOn w:val="Normal"/>
    <w:next w:val="Normal"/>
    <w:uiPriority w:val="35"/>
    <w:qFormat/>
    <w:rsid w:val="00583DD1"/>
    <w:pPr>
      <w:spacing w:before="120" w:after="120"/>
    </w:pPr>
    <w:rPr>
      <w:b/>
    </w:rPr>
  </w:style>
  <w:style w:type="character" w:styleId="Hyperlink">
    <w:name w:val="Hyperlink"/>
    <w:uiPriority w:val="99"/>
    <w:rsid w:val="00D66FF8"/>
    <w:rPr>
      <w:color w:val="0000FF"/>
      <w:u w:val="single"/>
    </w:rPr>
  </w:style>
  <w:style w:type="character" w:customStyle="1" w:styleId="UnresolvedMention1">
    <w:name w:val="Unresolved Mention1"/>
    <w:basedOn w:val="DefaultParagraphFont"/>
    <w:uiPriority w:val="99"/>
    <w:semiHidden/>
    <w:unhideWhenUsed/>
    <w:rsid w:val="00CF482E"/>
    <w:rPr>
      <w:color w:val="808080"/>
      <w:shd w:val="clear" w:color="auto" w:fill="E6E6E6"/>
    </w:rPr>
  </w:style>
  <w:style w:type="paragraph" w:styleId="NormalWeb">
    <w:name w:val="Normal (Web)"/>
    <w:basedOn w:val="Normal"/>
    <w:uiPriority w:val="99"/>
    <w:semiHidden/>
    <w:unhideWhenUsed/>
    <w:rsid w:val="00573673"/>
    <w:pPr>
      <w:overflowPunct/>
      <w:autoSpaceDE/>
      <w:autoSpaceDN/>
      <w:adjustRightInd/>
      <w:spacing w:before="100" w:beforeAutospacing="1" w:after="100" w:afterAutospacing="1"/>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02130">
      <w:bodyDiv w:val="1"/>
      <w:marLeft w:val="0"/>
      <w:marRight w:val="0"/>
      <w:marTop w:val="0"/>
      <w:marBottom w:val="0"/>
      <w:divBdr>
        <w:top w:val="none" w:sz="0" w:space="0" w:color="auto"/>
        <w:left w:val="none" w:sz="0" w:space="0" w:color="auto"/>
        <w:bottom w:val="none" w:sz="0" w:space="0" w:color="auto"/>
        <w:right w:val="none" w:sz="0" w:space="0" w:color="auto"/>
      </w:divBdr>
      <w:divsChild>
        <w:div w:id="33435307">
          <w:marLeft w:val="720"/>
          <w:marRight w:val="0"/>
          <w:marTop w:val="86"/>
          <w:marBottom w:val="0"/>
          <w:divBdr>
            <w:top w:val="none" w:sz="0" w:space="0" w:color="auto"/>
            <w:left w:val="none" w:sz="0" w:space="0" w:color="auto"/>
            <w:bottom w:val="none" w:sz="0" w:space="0" w:color="auto"/>
            <w:right w:val="none" w:sz="0" w:space="0" w:color="auto"/>
          </w:divBdr>
        </w:div>
        <w:div w:id="210579306">
          <w:marLeft w:val="720"/>
          <w:marRight w:val="0"/>
          <w:marTop w:val="86"/>
          <w:marBottom w:val="0"/>
          <w:divBdr>
            <w:top w:val="none" w:sz="0" w:space="0" w:color="auto"/>
            <w:left w:val="none" w:sz="0" w:space="0" w:color="auto"/>
            <w:bottom w:val="none" w:sz="0" w:space="0" w:color="auto"/>
            <w:right w:val="none" w:sz="0" w:space="0" w:color="auto"/>
          </w:divBdr>
        </w:div>
        <w:div w:id="869950484">
          <w:marLeft w:val="720"/>
          <w:marRight w:val="0"/>
          <w:marTop w:val="86"/>
          <w:marBottom w:val="0"/>
          <w:divBdr>
            <w:top w:val="none" w:sz="0" w:space="0" w:color="auto"/>
            <w:left w:val="none" w:sz="0" w:space="0" w:color="auto"/>
            <w:bottom w:val="none" w:sz="0" w:space="0" w:color="auto"/>
            <w:right w:val="none" w:sz="0" w:space="0" w:color="auto"/>
          </w:divBdr>
        </w:div>
        <w:div w:id="1405444957">
          <w:marLeft w:val="720"/>
          <w:marRight w:val="0"/>
          <w:marTop w:val="86"/>
          <w:marBottom w:val="0"/>
          <w:divBdr>
            <w:top w:val="none" w:sz="0" w:space="0" w:color="auto"/>
            <w:left w:val="none" w:sz="0" w:space="0" w:color="auto"/>
            <w:bottom w:val="none" w:sz="0" w:space="0" w:color="auto"/>
            <w:right w:val="none" w:sz="0" w:space="0" w:color="auto"/>
          </w:divBdr>
        </w:div>
        <w:div w:id="1988969821">
          <w:marLeft w:val="720"/>
          <w:marRight w:val="0"/>
          <w:marTop w:val="86"/>
          <w:marBottom w:val="0"/>
          <w:divBdr>
            <w:top w:val="none" w:sz="0" w:space="0" w:color="auto"/>
            <w:left w:val="none" w:sz="0" w:space="0" w:color="auto"/>
            <w:bottom w:val="none" w:sz="0" w:space="0" w:color="auto"/>
            <w:right w:val="none" w:sz="0" w:space="0" w:color="auto"/>
          </w:divBdr>
        </w:div>
      </w:divsChild>
    </w:div>
    <w:div w:id="117535882">
      <w:bodyDiv w:val="1"/>
      <w:marLeft w:val="0"/>
      <w:marRight w:val="0"/>
      <w:marTop w:val="0"/>
      <w:marBottom w:val="0"/>
      <w:divBdr>
        <w:top w:val="none" w:sz="0" w:space="0" w:color="auto"/>
        <w:left w:val="none" w:sz="0" w:space="0" w:color="auto"/>
        <w:bottom w:val="none" w:sz="0" w:space="0" w:color="auto"/>
        <w:right w:val="none" w:sz="0" w:space="0" w:color="auto"/>
      </w:divBdr>
      <w:divsChild>
        <w:div w:id="516386632">
          <w:marLeft w:val="720"/>
          <w:marRight w:val="0"/>
          <w:marTop w:val="115"/>
          <w:marBottom w:val="0"/>
          <w:divBdr>
            <w:top w:val="none" w:sz="0" w:space="0" w:color="auto"/>
            <w:left w:val="none" w:sz="0" w:space="0" w:color="auto"/>
            <w:bottom w:val="none" w:sz="0" w:space="0" w:color="auto"/>
            <w:right w:val="none" w:sz="0" w:space="0" w:color="auto"/>
          </w:divBdr>
        </w:div>
        <w:div w:id="672955694">
          <w:marLeft w:val="720"/>
          <w:marRight w:val="0"/>
          <w:marTop w:val="115"/>
          <w:marBottom w:val="0"/>
          <w:divBdr>
            <w:top w:val="none" w:sz="0" w:space="0" w:color="auto"/>
            <w:left w:val="none" w:sz="0" w:space="0" w:color="auto"/>
            <w:bottom w:val="none" w:sz="0" w:space="0" w:color="auto"/>
            <w:right w:val="none" w:sz="0" w:space="0" w:color="auto"/>
          </w:divBdr>
        </w:div>
        <w:div w:id="1385175817">
          <w:marLeft w:val="720"/>
          <w:marRight w:val="0"/>
          <w:marTop w:val="115"/>
          <w:marBottom w:val="0"/>
          <w:divBdr>
            <w:top w:val="none" w:sz="0" w:space="0" w:color="auto"/>
            <w:left w:val="none" w:sz="0" w:space="0" w:color="auto"/>
            <w:bottom w:val="none" w:sz="0" w:space="0" w:color="auto"/>
            <w:right w:val="none" w:sz="0" w:space="0" w:color="auto"/>
          </w:divBdr>
        </w:div>
        <w:div w:id="1952861980">
          <w:marLeft w:val="720"/>
          <w:marRight w:val="0"/>
          <w:marTop w:val="115"/>
          <w:marBottom w:val="0"/>
          <w:divBdr>
            <w:top w:val="none" w:sz="0" w:space="0" w:color="auto"/>
            <w:left w:val="none" w:sz="0" w:space="0" w:color="auto"/>
            <w:bottom w:val="none" w:sz="0" w:space="0" w:color="auto"/>
            <w:right w:val="none" w:sz="0" w:space="0" w:color="auto"/>
          </w:divBdr>
        </w:div>
        <w:div w:id="2140344192">
          <w:marLeft w:val="720"/>
          <w:marRight w:val="0"/>
          <w:marTop w:val="115"/>
          <w:marBottom w:val="0"/>
          <w:divBdr>
            <w:top w:val="none" w:sz="0" w:space="0" w:color="auto"/>
            <w:left w:val="none" w:sz="0" w:space="0" w:color="auto"/>
            <w:bottom w:val="none" w:sz="0" w:space="0" w:color="auto"/>
            <w:right w:val="none" w:sz="0" w:space="0" w:color="auto"/>
          </w:divBdr>
        </w:div>
      </w:divsChild>
    </w:div>
    <w:div w:id="311640496">
      <w:bodyDiv w:val="1"/>
      <w:marLeft w:val="0"/>
      <w:marRight w:val="0"/>
      <w:marTop w:val="0"/>
      <w:marBottom w:val="0"/>
      <w:divBdr>
        <w:top w:val="none" w:sz="0" w:space="0" w:color="auto"/>
        <w:left w:val="none" w:sz="0" w:space="0" w:color="auto"/>
        <w:bottom w:val="none" w:sz="0" w:space="0" w:color="auto"/>
        <w:right w:val="none" w:sz="0" w:space="0" w:color="auto"/>
      </w:divBdr>
    </w:div>
    <w:div w:id="347219159">
      <w:bodyDiv w:val="1"/>
      <w:marLeft w:val="0"/>
      <w:marRight w:val="0"/>
      <w:marTop w:val="0"/>
      <w:marBottom w:val="0"/>
      <w:divBdr>
        <w:top w:val="none" w:sz="0" w:space="0" w:color="auto"/>
        <w:left w:val="none" w:sz="0" w:space="0" w:color="auto"/>
        <w:bottom w:val="none" w:sz="0" w:space="0" w:color="auto"/>
        <w:right w:val="none" w:sz="0" w:space="0" w:color="auto"/>
      </w:divBdr>
    </w:div>
    <w:div w:id="698942631">
      <w:bodyDiv w:val="1"/>
      <w:marLeft w:val="0"/>
      <w:marRight w:val="0"/>
      <w:marTop w:val="0"/>
      <w:marBottom w:val="0"/>
      <w:divBdr>
        <w:top w:val="none" w:sz="0" w:space="0" w:color="auto"/>
        <w:left w:val="none" w:sz="0" w:space="0" w:color="auto"/>
        <w:bottom w:val="none" w:sz="0" w:space="0" w:color="auto"/>
        <w:right w:val="none" w:sz="0" w:space="0" w:color="auto"/>
      </w:divBdr>
    </w:div>
    <w:div w:id="934361225">
      <w:bodyDiv w:val="1"/>
      <w:marLeft w:val="0"/>
      <w:marRight w:val="0"/>
      <w:marTop w:val="0"/>
      <w:marBottom w:val="0"/>
      <w:divBdr>
        <w:top w:val="none" w:sz="0" w:space="0" w:color="auto"/>
        <w:left w:val="none" w:sz="0" w:space="0" w:color="auto"/>
        <w:bottom w:val="none" w:sz="0" w:space="0" w:color="auto"/>
        <w:right w:val="none" w:sz="0" w:space="0" w:color="auto"/>
      </w:divBdr>
    </w:div>
    <w:div w:id="1020666726">
      <w:bodyDiv w:val="1"/>
      <w:marLeft w:val="0"/>
      <w:marRight w:val="0"/>
      <w:marTop w:val="0"/>
      <w:marBottom w:val="0"/>
      <w:divBdr>
        <w:top w:val="none" w:sz="0" w:space="0" w:color="auto"/>
        <w:left w:val="none" w:sz="0" w:space="0" w:color="auto"/>
        <w:bottom w:val="none" w:sz="0" w:space="0" w:color="auto"/>
        <w:right w:val="none" w:sz="0" w:space="0" w:color="auto"/>
      </w:divBdr>
    </w:div>
    <w:div w:id="1074354747">
      <w:bodyDiv w:val="1"/>
      <w:marLeft w:val="0"/>
      <w:marRight w:val="0"/>
      <w:marTop w:val="0"/>
      <w:marBottom w:val="0"/>
      <w:divBdr>
        <w:top w:val="none" w:sz="0" w:space="0" w:color="auto"/>
        <w:left w:val="none" w:sz="0" w:space="0" w:color="auto"/>
        <w:bottom w:val="none" w:sz="0" w:space="0" w:color="auto"/>
        <w:right w:val="none" w:sz="0" w:space="0" w:color="auto"/>
      </w:divBdr>
    </w:div>
    <w:div w:id="1516726887">
      <w:bodyDiv w:val="1"/>
      <w:marLeft w:val="0"/>
      <w:marRight w:val="0"/>
      <w:marTop w:val="0"/>
      <w:marBottom w:val="0"/>
      <w:divBdr>
        <w:top w:val="none" w:sz="0" w:space="0" w:color="auto"/>
        <w:left w:val="none" w:sz="0" w:space="0" w:color="auto"/>
        <w:bottom w:val="none" w:sz="0" w:space="0" w:color="auto"/>
        <w:right w:val="none" w:sz="0" w:space="0" w:color="auto"/>
      </w:divBdr>
    </w:div>
    <w:div w:id="1703088271">
      <w:bodyDiv w:val="1"/>
      <w:marLeft w:val="0"/>
      <w:marRight w:val="0"/>
      <w:marTop w:val="0"/>
      <w:marBottom w:val="0"/>
      <w:divBdr>
        <w:top w:val="none" w:sz="0" w:space="0" w:color="auto"/>
        <w:left w:val="none" w:sz="0" w:space="0" w:color="auto"/>
        <w:bottom w:val="none" w:sz="0" w:space="0" w:color="auto"/>
        <w:right w:val="none" w:sz="0" w:space="0" w:color="auto"/>
      </w:divBdr>
    </w:div>
    <w:div w:id="1732540028">
      <w:bodyDiv w:val="1"/>
      <w:marLeft w:val="0"/>
      <w:marRight w:val="0"/>
      <w:marTop w:val="0"/>
      <w:marBottom w:val="0"/>
      <w:divBdr>
        <w:top w:val="none" w:sz="0" w:space="0" w:color="auto"/>
        <w:left w:val="none" w:sz="0" w:space="0" w:color="auto"/>
        <w:bottom w:val="none" w:sz="0" w:space="0" w:color="auto"/>
        <w:right w:val="none" w:sz="0" w:space="0" w:color="auto"/>
      </w:divBdr>
    </w:div>
    <w:div w:id="20334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HR33RHYHUWRF-4-6144</_dlc_DocId>
    <_dlc_DocIdUrl xmlns="c06861ca-3f08-4d07-bff7-bb15bac121f4">
      <Url>https://projects.qualcomm.com/sites/pentari/_layouts/15/DocIdRedir.aspx?ID=HR33RHYHUWRF-4-6144</Url>
      <Description>HR33RHYHUWRF-4-6144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25A0A-A1BC-4F41-AB64-210AB53DE688}">
  <ds:schemaRefs>
    <ds:schemaRef ds:uri="http://schemas.microsoft.com/sharepoint/v3/contenttype/forms"/>
  </ds:schemaRefs>
</ds:datastoreItem>
</file>

<file path=customXml/itemProps2.xml><?xml version="1.0" encoding="utf-8"?>
<ds:datastoreItem xmlns:ds="http://schemas.openxmlformats.org/officeDocument/2006/customXml" ds:itemID="{D9433D5D-2557-41AA-A7A6-142F322E8B55}">
  <ds:schemaRefs>
    <ds:schemaRef ds:uri="http://schemas.microsoft.com/sharepoint/events"/>
  </ds:schemaRefs>
</ds:datastoreItem>
</file>

<file path=customXml/itemProps3.xml><?xml version="1.0" encoding="utf-8"?>
<ds:datastoreItem xmlns:ds="http://schemas.openxmlformats.org/officeDocument/2006/customXml" ds:itemID="{0FCE7934-96BA-42BD-BF45-0FCAB747E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5318C3-7C27-4B00-A82E-01A8E9BAF03A}">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7DE70D24-E9D2-4127-9E34-D00BB8485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2</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Liangming Wu</dc:creator>
  <cp:keywords/>
  <dc:description/>
  <cp:lastModifiedBy>Gabi Sarkis</cp:lastModifiedBy>
  <cp:revision>195</cp:revision>
  <dcterms:created xsi:type="dcterms:W3CDTF">2017-09-11T15:30:00Z</dcterms:created>
  <dcterms:modified xsi:type="dcterms:W3CDTF">2017-11-18T05:26:00Z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c88640c5-81ca-4310-85ae-902daf7a0238</vt:lpwstr>
  </property>
  <property fmtid="{D5CDD505-2E9C-101B-9397-08002B2CF9AE}" pid="4" name="ContentTypeId">
    <vt:lpwstr>0x010100BC29BFD66497B943AA3B102F0C7B1355</vt:lpwstr>
  </property>
</Properties>
</file>